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E188A3" w14:textId="154055D3" w:rsidR="00FD69A7" w:rsidRDefault="00E9323A" w:rsidP="00FD69A7">
      <w:pPr>
        <w:rPr>
          <w:noProof/>
        </w:rPr>
      </w:pPr>
      <w:bookmarkStart w:id="0" w:name="_GoBack"/>
      <w:bookmarkEnd w:id="0"/>
      <w:r>
        <w:rPr>
          <w:noProof/>
        </w:rPr>
        <w:drawing>
          <wp:anchor distT="0" distB="0" distL="114300" distR="114300" simplePos="0" relativeHeight="251683840" behindDoc="0" locked="0" layoutInCell="1" allowOverlap="1" wp14:anchorId="602934C6" wp14:editId="21B0A6E6">
            <wp:simplePos x="0" y="0"/>
            <wp:positionH relativeFrom="column">
              <wp:posOffset>-907085</wp:posOffset>
            </wp:positionH>
            <wp:positionV relativeFrom="paragraph">
              <wp:posOffset>-1366545</wp:posOffset>
            </wp:positionV>
            <wp:extent cx="7772437" cy="10051084"/>
            <wp:effectExtent l="0" t="0" r="0" b="762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7mnmio7mnmio7mnm.jpeg"/>
                    <pic:cNvPicPr/>
                  </pic:nvPicPr>
                  <pic:blipFill>
                    <a:blip r:embed="rId8">
                      <a:extLst>
                        <a:ext uri="{28A0092B-C50C-407E-A947-70E740481C1C}">
                          <a14:useLocalDpi xmlns:a14="http://schemas.microsoft.com/office/drawing/2010/main" val="0"/>
                        </a:ext>
                      </a:extLst>
                    </a:blip>
                    <a:stretch>
                      <a:fillRect/>
                    </a:stretch>
                  </pic:blipFill>
                  <pic:spPr>
                    <a:xfrm>
                      <a:off x="0" y="0"/>
                      <a:ext cx="7773877" cy="10052946"/>
                    </a:xfrm>
                    <a:prstGeom prst="rect">
                      <a:avLst/>
                    </a:prstGeom>
                  </pic:spPr>
                </pic:pic>
              </a:graphicData>
            </a:graphic>
            <wp14:sizeRelH relativeFrom="margin">
              <wp14:pctWidth>0</wp14:pctWidth>
            </wp14:sizeRelH>
            <wp14:sizeRelV relativeFrom="margin">
              <wp14:pctHeight>0</wp14:pctHeight>
            </wp14:sizeRelV>
          </wp:anchor>
        </w:drawing>
      </w:r>
    </w:p>
    <w:p w14:paraId="66BC849C" w14:textId="77777777" w:rsidR="00E9323A" w:rsidRDefault="00E9323A" w:rsidP="00FD69A7">
      <w:pPr>
        <w:rPr>
          <w:noProof/>
        </w:rPr>
      </w:pPr>
    </w:p>
    <w:p w14:paraId="69383CD2" w14:textId="77777777" w:rsidR="00E9323A" w:rsidRDefault="00E9323A" w:rsidP="00FD69A7">
      <w:pPr>
        <w:rPr>
          <w:noProof/>
        </w:rPr>
      </w:pPr>
    </w:p>
    <w:p w14:paraId="2D823090" w14:textId="77777777" w:rsidR="00E9323A" w:rsidRDefault="00E9323A" w:rsidP="00FD69A7">
      <w:pPr>
        <w:rPr>
          <w:noProof/>
        </w:rPr>
      </w:pPr>
    </w:p>
    <w:p w14:paraId="768DC9D8" w14:textId="77777777" w:rsidR="00E9323A" w:rsidRDefault="00E9323A" w:rsidP="00FD69A7">
      <w:pPr>
        <w:rPr>
          <w:noProof/>
        </w:rPr>
      </w:pPr>
    </w:p>
    <w:p w14:paraId="388552E3" w14:textId="77777777" w:rsidR="00E9323A" w:rsidRDefault="00E9323A" w:rsidP="00FD69A7">
      <w:pPr>
        <w:rPr>
          <w:noProof/>
        </w:rPr>
      </w:pPr>
    </w:p>
    <w:p w14:paraId="6DC9AC33" w14:textId="77777777" w:rsidR="00E9323A" w:rsidRDefault="00E9323A" w:rsidP="00FD69A7">
      <w:pPr>
        <w:rPr>
          <w:noProof/>
        </w:rPr>
      </w:pPr>
    </w:p>
    <w:p w14:paraId="6CE00348" w14:textId="77777777" w:rsidR="00E9323A" w:rsidRDefault="00E9323A" w:rsidP="00FD69A7">
      <w:pPr>
        <w:rPr>
          <w:noProof/>
        </w:rPr>
      </w:pPr>
    </w:p>
    <w:p w14:paraId="68EACA94" w14:textId="77777777" w:rsidR="00E9323A" w:rsidRDefault="00E9323A" w:rsidP="00FD69A7">
      <w:pPr>
        <w:rPr>
          <w:noProof/>
        </w:rPr>
      </w:pPr>
    </w:p>
    <w:p w14:paraId="126A7F7D" w14:textId="77777777" w:rsidR="00E9323A" w:rsidRDefault="00E9323A" w:rsidP="00FD69A7">
      <w:pPr>
        <w:rPr>
          <w:noProof/>
        </w:rPr>
      </w:pPr>
    </w:p>
    <w:p w14:paraId="1AA98B38" w14:textId="77777777" w:rsidR="00E9323A" w:rsidRDefault="00E9323A" w:rsidP="00FD69A7">
      <w:pPr>
        <w:rPr>
          <w:noProof/>
        </w:rPr>
      </w:pPr>
    </w:p>
    <w:p w14:paraId="754EAEA5" w14:textId="77777777" w:rsidR="00E9323A" w:rsidRDefault="00E9323A" w:rsidP="00FD69A7">
      <w:pPr>
        <w:rPr>
          <w:noProof/>
        </w:rPr>
      </w:pPr>
    </w:p>
    <w:p w14:paraId="668EDED5" w14:textId="77777777" w:rsidR="00E9323A" w:rsidRDefault="00E9323A" w:rsidP="00FD69A7">
      <w:pPr>
        <w:rPr>
          <w:noProof/>
        </w:rPr>
      </w:pPr>
    </w:p>
    <w:p w14:paraId="12078AFE" w14:textId="77777777" w:rsidR="00E9323A" w:rsidRDefault="00E9323A" w:rsidP="00FD69A7">
      <w:pPr>
        <w:rPr>
          <w:noProof/>
        </w:rPr>
      </w:pPr>
    </w:p>
    <w:p w14:paraId="466BDE2E" w14:textId="77777777" w:rsidR="00E9323A" w:rsidRDefault="00E9323A" w:rsidP="00FD69A7">
      <w:pPr>
        <w:rPr>
          <w:noProof/>
        </w:rPr>
      </w:pPr>
    </w:p>
    <w:p w14:paraId="3337757C" w14:textId="77777777" w:rsidR="00E9323A" w:rsidRDefault="00E9323A" w:rsidP="00FD69A7">
      <w:pPr>
        <w:rPr>
          <w:noProof/>
        </w:rPr>
      </w:pPr>
    </w:p>
    <w:p w14:paraId="71A2E9AA" w14:textId="77777777" w:rsidR="00E9323A" w:rsidRDefault="00E9323A" w:rsidP="00FD69A7">
      <w:pPr>
        <w:rPr>
          <w:noProof/>
        </w:rPr>
      </w:pPr>
    </w:p>
    <w:p w14:paraId="11EB13E0" w14:textId="77777777" w:rsidR="00E9323A" w:rsidRDefault="00E9323A" w:rsidP="00FD69A7">
      <w:pPr>
        <w:rPr>
          <w:noProof/>
        </w:rPr>
      </w:pPr>
    </w:p>
    <w:p w14:paraId="02662842" w14:textId="77777777" w:rsidR="00E9323A" w:rsidRDefault="00E9323A" w:rsidP="00FD69A7">
      <w:pPr>
        <w:rPr>
          <w:noProof/>
        </w:rPr>
      </w:pPr>
    </w:p>
    <w:p w14:paraId="24232214" w14:textId="77777777" w:rsidR="00E9323A" w:rsidRDefault="00E9323A" w:rsidP="00FD69A7">
      <w:pPr>
        <w:rPr>
          <w:noProof/>
        </w:rPr>
      </w:pPr>
    </w:p>
    <w:p w14:paraId="72DF1249" w14:textId="77777777" w:rsidR="00E9323A" w:rsidRDefault="00E9323A" w:rsidP="00FD69A7">
      <w:pPr>
        <w:rPr>
          <w:noProof/>
        </w:rPr>
      </w:pPr>
    </w:p>
    <w:p w14:paraId="72CD7420" w14:textId="77777777" w:rsidR="00E9323A" w:rsidRDefault="00E9323A" w:rsidP="00FD69A7">
      <w:pPr>
        <w:rPr>
          <w:noProof/>
        </w:rPr>
      </w:pPr>
    </w:p>
    <w:p w14:paraId="4EECE855" w14:textId="77777777" w:rsidR="00E9323A" w:rsidRDefault="00E9323A" w:rsidP="00FD69A7">
      <w:pPr>
        <w:rPr>
          <w:noProof/>
        </w:rPr>
      </w:pPr>
    </w:p>
    <w:p w14:paraId="7199F6B1" w14:textId="77777777" w:rsidR="00E9323A" w:rsidRDefault="00E9323A" w:rsidP="00FD69A7">
      <w:pPr>
        <w:rPr>
          <w:noProof/>
        </w:rPr>
      </w:pPr>
    </w:p>
    <w:p w14:paraId="2B5B7E44" w14:textId="77777777" w:rsidR="009A7CD2" w:rsidRPr="00897EBD" w:rsidRDefault="009A7CD2" w:rsidP="00897EBD">
      <w:pPr>
        <w:pStyle w:val="a6"/>
        <w:jc w:val="center"/>
        <w:rPr>
          <w:rFonts w:cs="DecoType Thuluth"/>
          <w:sz w:val="28"/>
          <w:szCs w:val="28"/>
        </w:rPr>
      </w:pPr>
      <w:r w:rsidRPr="00897EBD">
        <w:rPr>
          <w:rFonts w:cs="DecoType Thuluth"/>
          <w:sz w:val="28"/>
          <w:szCs w:val="28"/>
          <w:rtl/>
        </w:rPr>
        <w:lastRenderedPageBreak/>
        <w:t>مجلة ميسان للدراسات الاكاديمية</w:t>
      </w:r>
    </w:p>
    <w:p w14:paraId="7007D2B6" w14:textId="77777777" w:rsidR="009A7CD2" w:rsidRPr="00897EBD" w:rsidRDefault="009A7CD2" w:rsidP="00897EBD">
      <w:pPr>
        <w:pStyle w:val="a6"/>
        <w:jc w:val="center"/>
        <w:rPr>
          <w:rFonts w:cs="DecoType Thuluth"/>
          <w:sz w:val="28"/>
          <w:szCs w:val="28"/>
        </w:rPr>
      </w:pPr>
      <w:r w:rsidRPr="00897EBD">
        <w:rPr>
          <w:rFonts w:cs="DecoType Thuluth"/>
          <w:sz w:val="28"/>
          <w:szCs w:val="28"/>
          <w:rtl/>
        </w:rPr>
        <w:t>العلوم الانسانية والاجتماعية والتطبيقية</w:t>
      </w:r>
    </w:p>
    <w:p w14:paraId="772B926A" w14:textId="77777777" w:rsidR="009A7CD2" w:rsidRPr="00897EBD" w:rsidRDefault="009A7CD2" w:rsidP="00897EBD">
      <w:pPr>
        <w:pStyle w:val="a6"/>
        <w:jc w:val="center"/>
        <w:rPr>
          <w:rFonts w:cs="DecoType Thuluth"/>
          <w:sz w:val="28"/>
          <w:szCs w:val="28"/>
          <w:rtl/>
          <w:lang w:bidi="ar-IQ"/>
        </w:rPr>
      </w:pPr>
      <w:r w:rsidRPr="00897EBD">
        <w:rPr>
          <w:rFonts w:cs="DecoType Thuluth"/>
          <w:sz w:val="28"/>
          <w:szCs w:val="28"/>
          <w:rtl/>
        </w:rPr>
        <w:t>كلية التربية الاساسية/ جامعة ميسان</w:t>
      </w:r>
    </w:p>
    <w:p w14:paraId="2BA1AC81" w14:textId="77777777" w:rsidR="00897EBD" w:rsidRDefault="00897EBD" w:rsidP="00897EBD">
      <w:pPr>
        <w:pStyle w:val="a6"/>
        <w:jc w:val="center"/>
        <w:rPr>
          <w:rFonts w:cs="Times New Roman"/>
          <w:b/>
          <w:bCs/>
          <w:sz w:val="36"/>
          <w:szCs w:val="36"/>
          <w:rtl/>
          <w:lang w:bidi="ar-IQ"/>
        </w:rPr>
      </w:pPr>
    </w:p>
    <w:p w14:paraId="7463A12F" w14:textId="77777777" w:rsidR="00897EBD" w:rsidRPr="00E9323A" w:rsidRDefault="00897EBD" w:rsidP="00897EBD">
      <w:pPr>
        <w:pStyle w:val="a6"/>
        <w:jc w:val="center"/>
        <w:rPr>
          <w:rFonts w:cs="Calibri"/>
          <w:b/>
          <w:bCs/>
          <w:sz w:val="36"/>
          <w:szCs w:val="36"/>
          <w:lang w:bidi="ar-IQ"/>
        </w:rPr>
      </w:pPr>
    </w:p>
    <w:p w14:paraId="3851C4BB" w14:textId="77777777" w:rsidR="000C2C32" w:rsidRDefault="000C2C32" w:rsidP="000C2C32">
      <w:pPr>
        <w:rPr>
          <w:rtl/>
        </w:rPr>
      </w:pPr>
    </w:p>
    <w:p w14:paraId="53BBFD16" w14:textId="264B93B7" w:rsidR="000C2C32" w:rsidRDefault="000C2C32" w:rsidP="000C2C32">
      <w:pPr>
        <w:rPr>
          <w:rtl/>
        </w:rPr>
      </w:pPr>
    </w:p>
    <w:p w14:paraId="58109220" w14:textId="7E3B3CA0" w:rsidR="000C2C32" w:rsidRPr="002A0EE0" w:rsidRDefault="000C2C32" w:rsidP="002A0EE0">
      <w:pPr>
        <w:tabs>
          <w:tab w:val="left" w:pos="4215"/>
        </w:tabs>
        <w:bidi/>
        <w:ind w:firstLine="855"/>
        <w:rPr>
          <w:rFonts w:ascii="Simplified Arabic" w:eastAsia="Times New Roman" w:hAnsi="Simplified Arabic" w:cs="Simplified Arabic"/>
          <w:noProof/>
        </w:rPr>
      </w:pPr>
      <w:r w:rsidRPr="002A0EE0">
        <w:rPr>
          <w:rFonts w:ascii="Simplified Arabic" w:eastAsia="Times New Roman" w:hAnsi="Simplified Arabic" w:cs="Simplified Arabic"/>
          <w:sz w:val="36"/>
          <w:szCs w:val="36"/>
          <w:rtl/>
        </w:rPr>
        <w:t xml:space="preserve">المجلد   </w:t>
      </w:r>
      <w:r w:rsidR="00AE3198" w:rsidRPr="002A0EE0">
        <w:rPr>
          <w:rFonts w:ascii="Simplified Arabic" w:eastAsia="Times New Roman" w:hAnsi="Simplified Arabic" w:cs="Simplified Arabic"/>
          <w:sz w:val="36"/>
          <w:szCs w:val="36"/>
          <w:rtl/>
        </w:rPr>
        <w:t>25</w:t>
      </w:r>
      <w:r w:rsidR="001E258E" w:rsidRPr="002A0EE0">
        <w:rPr>
          <w:rFonts w:ascii="Simplified Arabic" w:eastAsia="Times New Roman" w:hAnsi="Simplified Arabic" w:cs="Simplified Arabic"/>
          <w:sz w:val="36"/>
          <w:szCs w:val="36"/>
          <w:rtl/>
        </w:rPr>
        <w:t xml:space="preserve">   </w:t>
      </w:r>
      <w:r w:rsidRPr="002A0EE0">
        <w:rPr>
          <w:rFonts w:ascii="Simplified Arabic" w:eastAsia="Times New Roman" w:hAnsi="Simplified Arabic" w:cs="Simplified Arabic"/>
          <w:sz w:val="36"/>
          <w:szCs w:val="36"/>
          <w:rtl/>
        </w:rPr>
        <w:t xml:space="preserve">    </w:t>
      </w:r>
      <w:r w:rsidR="001E258E" w:rsidRPr="002A0EE0">
        <w:rPr>
          <w:rFonts w:ascii="Simplified Arabic" w:eastAsia="Times New Roman" w:hAnsi="Simplified Arabic" w:cs="Simplified Arabic"/>
          <w:sz w:val="36"/>
          <w:szCs w:val="36"/>
          <w:rtl/>
        </w:rPr>
        <w:t xml:space="preserve">  </w:t>
      </w:r>
      <w:r w:rsidR="0017656A" w:rsidRPr="002A0EE0">
        <w:rPr>
          <w:rFonts w:ascii="Simplified Arabic" w:eastAsia="Times New Roman" w:hAnsi="Simplified Arabic" w:cs="Simplified Arabic"/>
          <w:sz w:val="36"/>
          <w:szCs w:val="36"/>
          <w:rtl/>
          <w:lang w:bidi="ar-IQ"/>
        </w:rPr>
        <w:t xml:space="preserve"> </w:t>
      </w:r>
      <w:r w:rsidRPr="002A0EE0">
        <w:rPr>
          <w:rFonts w:ascii="Simplified Arabic" w:eastAsia="Times New Roman" w:hAnsi="Simplified Arabic" w:cs="Simplified Arabic"/>
          <w:sz w:val="36"/>
          <w:szCs w:val="36"/>
          <w:rtl/>
        </w:rPr>
        <w:t xml:space="preserve">    العدد  </w:t>
      </w:r>
      <w:r w:rsidR="00AE3198" w:rsidRPr="002A0EE0">
        <w:rPr>
          <w:rFonts w:ascii="Simplified Arabic" w:eastAsia="Times New Roman" w:hAnsi="Simplified Arabic" w:cs="Simplified Arabic"/>
          <w:sz w:val="36"/>
          <w:szCs w:val="36"/>
          <w:rtl/>
        </w:rPr>
        <w:t>5</w:t>
      </w:r>
      <w:r w:rsidR="00B455E4" w:rsidRPr="002A0EE0">
        <w:rPr>
          <w:rFonts w:ascii="Simplified Arabic" w:eastAsia="Times New Roman" w:hAnsi="Simplified Arabic" w:cs="Simplified Arabic"/>
          <w:sz w:val="36"/>
          <w:szCs w:val="36"/>
          <w:rtl/>
        </w:rPr>
        <w:t>9</w:t>
      </w:r>
      <w:r w:rsidRPr="002A0EE0">
        <w:rPr>
          <w:rFonts w:ascii="Simplified Arabic" w:eastAsia="Times New Roman" w:hAnsi="Simplified Arabic" w:cs="Simplified Arabic"/>
          <w:sz w:val="36"/>
          <w:szCs w:val="36"/>
          <w:rtl/>
        </w:rPr>
        <w:t xml:space="preserve">    </w:t>
      </w:r>
      <w:r w:rsidR="00AE3198" w:rsidRPr="002A0EE0">
        <w:rPr>
          <w:rFonts w:ascii="Simplified Arabic" w:eastAsia="Times New Roman" w:hAnsi="Simplified Arabic" w:cs="Simplified Arabic"/>
          <w:sz w:val="36"/>
          <w:szCs w:val="36"/>
          <w:rtl/>
        </w:rPr>
        <w:t xml:space="preserve"> </w:t>
      </w:r>
      <w:r w:rsidR="0017656A" w:rsidRPr="002A0EE0">
        <w:rPr>
          <w:rFonts w:ascii="Simplified Arabic" w:eastAsia="Times New Roman" w:hAnsi="Simplified Arabic" w:cs="Simplified Arabic"/>
          <w:sz w:val="36"/>
          <w:szCs w:val="36"/>
          <w:rtl/>
          <w:lang w:bidi="ar-IQ"/>
        </w:rPr>
        <w:t xml:space="preserve">  </w:t>
      </w:r>
      <w:r w:rsidR="00AE3198" w:rsidRPr="002A0EE0">
        <w:rPr>
          <w:rFonts w:ascii="Simplified Arabic" w:eastAsia="Times New Roman" w:hAnsi="Simplified Arabic" w:cs="Simplified Arabic"/>
          <w:sz w:val="36"/>
          <w:szCs w:val="36"/>
          <w:rtl/>
        </w:rPr>
        <w:t xml:space="preserve">  </w:t>
      </w:r>
      <w:r w:rsidRPr="002A0EE0">
        <w:rPr>
          <w:rFonts w:ascii="Simplified Arabic" w:eastAsia="Times New Roman" w:hAnsi="Simplified Arabic" w:cs="Simplified Arabic"/>
          <w:sz w:val="36"/>
          <w:szCs w:val="36"/>
          <w:rtl/>
        </w:rPr>
        <w:t xml:space="preserve"> </w:t>
      </w:r>
      <w:r w:rsidR="002A0EE0">
        <w:rPr>
          <w:rFonts w:ascii="Simplified Arabic" w:eastAsia="Times New Roman" w:hAnsi="Simplified Arabic" w:cs="Simplified Arabic" w:hint="cs"/>
          <w:sz w:val="36"/>
          <w:szCs w:val="36"/>
          <w:rtl/>
        </w:rPr>
        <w:t xml:space="preserve">    </w:t>
      </w:r>
      <w:r w:rsidRPr="002A0EE0">
        <w:rPr>
          <w:rFonts w:ascii="Simplified Arabic" w:eastAsia="Times New Roman" w:hAnsi="Simplified Arabic" w:cs="Simplified Arabic"/>
          <w:sz w:val="36"/>
          <w:szCs w:val="36"/>
          <w:rtl/>
        </w:rPr>
        <w:t xml:space="preserve"> </w:t>
      </w:r>
      <w:r w:rsidR="00B455E4" w:rsidRPr="002A0EE0">
        <w:rPr>
          <w:rFonts w:ascii="Simplified Arabic" w:eastAsia="Times New Roman" w:hAnsi="Simplified Arabic" w:cs="Simplified Arabic"/>
          <w:sz w:val="36"/>
          <w:szCs w:val="36"/>
          <w:rtl/>
        </w:rPr>
        <w:t>ايلول</w:t>
      </w:r>
      <w:r w:rsidRPr="002A0EE0">
        <w:rPr>
          <w:rFonts w:ascii="Simplified Arabic" w:eastAsia="Times New Roman" w:hAnsi="Simplified Arabic" w:cs="Simplified Arabic"/>
          <w:sz w:val="36"/>
          <w:szCs w:val="36"/>
          <w:rtl/>
        </w:rPr>
        <w:t xml:space="preserve"> 202</w:t>
      </w:r>
      <w:r w:rsidR="001E258E" w:rsidRPr="002A0EE0">
        <w:rPr>
          <w:rFonts w:ascii="Simplified Arabic" w:eastAsia="Times New Roman" w:hAnsi="Simplified Arabic" w:cs="Simplified Arabic"/>
          <w:sz w:val="36"/>
          <w:szCs w:val="36"/>
          <w:rtl/>
        </w:rPr>
        <w:t>6</w:t>
      </w:r>
      <w:r w:rsidR="00AE3198" w:rsidRPr="002A0EE0">
        <w:rPr>
          <w:rFonts w:ascii="Simplified Arabic" w:eastAsia="Times New Roman" w:hAnsi="Simplified Arabic" w:cs="Simplified Arabic"/>
          <w:sz w:val="36"/>
          <w:szCs w:val="36"/>
          <w:rtl/>
        </w:rPr>
        <w:t xml:space="preserve">  </w:t>
      </w:r>
      <w:r w:rsidR="00AE3198" w:rsidRPr="002A0EE0">
        <w:rPr>
          <w:rFonts w:ascii="Simplified Arabic" w:eastAsia="Times New Roman" w:hAnsi="Simplified Arabic" w:cs="Simplified Arabic"/>
          <w:sz w:val="36"/>
          <w:szCs w:val="36"/>
        </w:rPr>
        <w:t xml:space="preserve"> </w:t>
      </w:r>
    </w:p>
    <w:p w14:paraId="197A59A1" w14:textId="43D55E20" w:rsidR="00E25FA8" w:rsidRPr="00897EBD" w:rsidRDefault="00243925" w:rsidP="00897EBD">
      <w:pPr>
        <w:pStyle w:val="a6"/>
        <w:ind w:firstLine="993"/>
        <w:rPr>
          <w:rFonts w:asciiTheme="majorBidi" w:hAnsiTheme="majorBidi" w:cstheme="majorBidi"/>
          <w:color w:val="0F243E" w:themeColor="text2" w:themeShade="80"/>
          <w:sz w:val="40"/>
          <w:szCs w:val="40"/>
          <w:lang w:bidi="ar-IQ"/>
        </w:rPr>
      </w:pPr>
      <w:r w:rsidRPr="00897EBD">
        <w:rPr>
          <w:rFonts w:asciiTheme="majorBidi" w:hAnsiTheme="majorBidi" w:cstheme="majorBidi"/>
          <w:noProof/>
          <w:sz w:val="28"/>
          <w:szCs w:val="28"/>
        </w:rPr>
        <w:t xml:space="preserve"> </w:t>
      </w:r>
      <w:r w:rsidR="00897EBD">
        <w:rPr>
          <w:rFonts w:asciiTheme="majorBidi" w:hAnsiTheme="majorBidi" w:cstheme="majorBidi"/>
          <w:color w:val="0F243E" w:themeColor="text2" w:themeShade="80"/>
          <w:sz w:val="40"/>
          <w:szCs w:val="40"/>
          <w:lang w:bidi="ar-IQ"/>
        </w:rPr>
        <w:t>2026</w:t>
      </w:r>
      <w:r w:rsidR="00222C13" w:rsidRPr="00897EBD">
        <w:rPr>
          <w:rFonts w:asciiTheme="majorBidi" w:hAnsiTheme="majorBidi" w:cstheme="majorBidi"/>
          <w:color w:val="0F243E" w:themeColor="text2" w:themeShade="80"/>
          <w:sz w:val="40"/>
          <w:szCs w:val="40"/>
          <w:lang w:bidi="ar-IQ"/>
        </w:rPr>
        <w:t xml:space="preserve"> </w:t>
      </w:r>
      <w:r w:rsidR="00641E61" w:rsidRPr="00897EBD">
        <w:rPr>
          <w:rFonts w:asciiTheme="majorBidi" w:hAnsiTheme="majorBidi" w:cstheme="majorBidi"/>
          <w:color w:val="0F243E" w:themeColor="text2" w:themeShade="80"/>
          <w:sz w:val="40"/>
          <w:szCs w:val="40"/>
          <w:lang w:bidi="ar-IQ"/>
        </w:rPr>
        <w:t>-</w:t>
      </w:r>
      <w:r w:rsidR="00641E61" w:rsidRPr="00897EBD">
        <w:rPr>
          <w:rFonts w:asciiTheme="majorBidi" w:hAnsiTheme="majorBidi" w:cstheme="majorBidi"/>
          <w:color w:val="0F243E" w:themeColor="text2" w:themeShade="80"/>
          <w:sz w:val="36"/>
          <w:szCs w:val="36"/>
          <w:lang w:bidi="ar-IQ"/>
        </w:rPr>
        <w:t>SEP</w:t>
      </w:r>
      <w:r w:rsidR="00222C13" w:rsidRPr="00897EBD">
        <w:rPr>
          <w:rFonts w:asciiTheme="majorBidi" w:hAnsiTheme="majorBidi" w:cstheme="majorBidi"/>
          <w:color w:val="0F243E" w:themeColor="text2" w:themeShade="80"/>
          <w:sz w:val="40"/>
          <w:szCs w:val="40"/>
          <w:lang w:bidi="ar-IQ"/>
        </w:rPr>
        <w:t xml:space="preserve">     </w:t>
      </w:r>
      <w:r w:rsidR="00AE3198" w:rsidRPr="00897EBD">
        <w:rPr>
          <w:rFonts w:asciiTheme="majorBidi" w:hAnsiTheme="majorBidi" w:cstheme="majorBidi"/>
          <w:color w:val="0F243E" w:themeColor="text2" w:themeShade="80"/>
          <w:sz w:val="40"/>
          <w:szCs w:val="40"/>
          <w:rtl/>
          <w:lang w:bidi="ar-IQ"/>
        </w:rPr>
        <w:t xml:space="preserve">   </w:t>
      </w:r>
      <w:r w:rsidR="00897EBD">
        <w:rPr>
          <w:rFonts w:asciiTheme="majorBidi" w:hAnsiTheme="majorBidi" w:cstheme="majorBidi" w:hint="cs"/>
          <w:color w:val="0F243E" w:themeColor="text2" w:themeShade="80"/>
          <w:sz w:val="40"/>
          <w:szCs w:val="40"/>
          <w:rtl/>
          <w:lang w:bidi="ar-IQ"/>
        </w:rPr>
        <w:t xml:space="preserve">  </w:t>
      </w:r>
      <w:r w:rsidR="00AE3198" w:rsidRPr="00897EBD">
        <w:rPr>
          <w:rFonts w:asciiTheme="majorBidi" w:hAnsiTheme="majorBidi" w:cstheme="majorBidi"/>
          <w:color w:val="0F243E" w:themeColor="text2" w:themeShade="80"/>
          <w:sz w:val="40"/>
          <w:szCs w:val="40"/>
          <w:rtl/>
          <w:lang w:bidi="ar-IQ"/>
        </w:rPr>
        <w:t xml:space="preserve">    </w:t>
      </w:r>
      <w:r w:rsidR="00222C13" w:rsidRPr="00897EBD">
        <w:rPr>
          <w:rFonts w:asciiTheme="majorBidi" w:hAnsiTheme="majorBidi" w:cstheme="majorBidi"/>
          <w:color w:val="0F243E" w:themeColor="text2" w:themeShade="80"/>
          <w:sz w:val="40"/>
          <w:szCs w:val="40"/>
          <w:lang w:bidi="ar-IQ"/>
        </w:rPr>
        <w:t xml:space="preserve">  </w:t>
      </w:r>
      <w:r w:rsidR="00E25FA8" w:rsidRPr="00897EBD">
        <w:rPr>
          <w:rFonts w:asciiTheme="majorBidi" w:hAnsiTheme="majorBidi" w:cstheme="majorBidi"/>
          <w:color w:val="0F243E" w:themeColor="text2" w:themeShade="80"/>
          <w:sz w:val="40"/>
          <w:szCs w:val="40"/>
          <w:lang w:bidi="ar-IQ"/>
        </w:rPr>
        <w:t>5</w:t>
      </w:r>
      <w:r w:rsidR="00897EBD">
        <w:rPr>
          <w:rFonts w:asciiTheme="majorBidi" w:hAnsiTheme="majorBidi" w:cstheme="majorBidi"/>
          <w:color w:val="0F243E" w:themeColor="text2" w:themeShade="80"/>
          <w:sz w:val="40"/>
          <w:szCs w:val="40"/>
          <w:lang w:bidi="ar-IQ"/>
        </w:rPr>
        <w:t>9</w:t>
      </w:r>
      <w:r w:rsidR="00E25FA8" w:rsidRPr="00897EBD">
        <w:rPr>
          <w:rFonts w:asciiTheme="majorBidi" w:hAnsiTheme="majorBidi" w:cstheme="majorBidi"/>
          <w:color w:val="0F243E" w:themeColor="text2" w:themeShade="80"/>
          <w:sz w:val="40"/>
          <w:szCs w:val="40"/>
          <w:lang w:bidi="ar-IQ"/>
        </w:rPr>
        <w:t xml:space="preserve"> </w:t>
      </w:r>
      <w:r w:rsidR="0017656A" w:rsidRPr="00897EBD">
        <w:rPr>
          <w:rFonts w:asciiTheme="majorBidi" w:hAnsiTheme="majorBidi" w:cstheme="majorBidi"/>
          <w:color w:val="0F243E" w:themeColor="text2" w:themeShade="80"/>
          <w:sz w:val="40"/>
          <w:szCs w:val="40"/>
          <w:lang w:bidi="ar-IQ"/>
        </w:rPr>
        <w:t>Issue</w:t>
      </w:r>
      <w:r w:rsidR="00222C13" w:rsidRPr="00897EBD">
        <w:rPr>
          <w:rFonts w:asciiTheme="majorBidi" w:hAnsiTheme="majorBidi" w:cstheme="majorBidi"/>
          <w:color w:val="0F243E" w:themeColor="text2" w:themeShade="80"/>
          <w:sz w:val="40"/>
          <w:szCs w:val="40"/>
          <w:lang w:bidi="ar-IQ"/>
        </w:rPr>
        <w:t xml:space="preserve">      </w:t>
      </w:r>
      <w:r w:rsidR="001E258E" w:rsidRPr="00897EBD">
        <w:rPr>
          <w:rFonts w:asciiTheme="majorBidi" w:hAnsiTheme="majorBidi" w:cstheme="majorBidi"/>
          <w:color w:val="0F243E" w:themeColor="text2" w:themeShade="80"/>
          <w:sz w:val="40"/>
          <w:szCs w:val="40"/>
          <w:lang w:bidi="ar-IQ"/>
        </w:rPr>
        <w:t xml:space="preserve"> </w:t>
      </w:r>
      <w:r w:rsidR="0017656A" w:rsidRPr="00897EBD">
        <w:rPr>
          <w:rFonts w:asciiTheme="majorBidi" w:hAnsiTheme="majorBidi" w:cstheme="majorBidi"/>
          <w:color w:val="0F243E" w:themeColor="text2" w:themeShade="80"/>
          <w:sz w:val="40"/>
          <w:szCs w:val="40"/>
          <w:lang w:bidi="ar-IQ"/>
        </w:rPr>
        <w:t xml:space="preserve">    </w:t>
      </w:r>
      <w:r w:rsidR="001E258E" w:rsidRPr="00897EBD">
        <w:rPr>
          <w:rFonts w:asciiTheme="majorBidi" w:hAnsiTheme="majorBidi" w:cstheme="majorBidi"/>
          <w:color w:val="0F243E" w:themeColor="text2" w:themeShade="80"/>
          <w:sz w:val="40"/>
          <w:szCs w:val="40"/>
          <w:lang w:bidi="ar-IQ"/>
        </w:rPr>
        <w:t xml:space="preserve">  </w:t>
      </w:r>
      <w:r w:rsidR="00AE3198" w:rsidRPr="00897EBD">
        <w:rPr>
          <w:rFonts w:asciiTheme="majorBidi" w:hAnsiTheme="majorBidi" w:cstheme="majorBidi"/>
          <w:color w:val="0F243E" w:themeColor="text2" w:themeShade="80"/>
          <w:sz w:val="40"/>
          <w:szCs w:val="40"/>
          <w:rtl/>
          <w:lang w:bidi="ar-IQ"/>
        </w:rPr>
        <w:t xml:space="preserve"> </w:t>
      </w:r>
      <w:r w:rsidR="001E258E" w:rsidRPr="00897EBD">
        <w:rPr>
          <w:rFonts w:asciiTheme="majorBidi" w:hAnsiTheme="majorBidi" w:cstheme="majorBidi"/>
          <w:color w:val="0F243E" w:themeColor="text2" w:themeShade="80"/>
          <w:sz w:val="40"/>
          <w:szCs w:val="40"/>
          <w:lang w:bidi="ar-IQ"/>
        </w:rPr>
        <w:t xml:space="preserve">  </w:t>
      </w:r>
      <w:r w:rsidR="00641E61" w:rsidRPr="00897EBD">
        <w:rPr>
          <w:rFonts w:asciiTheme="majorBidi" w:hAnsiTheme="majorBidi" w:cstheme="majorBidi"/>
          <w:color w:val="0F243E" w:themeColor="text2" w:themeShade="80"/>
          <w:sz w:val="40"/>
          <w:szCs w:val="40"/>
          <w:lang w:bidi="ar-IQ"/>
        </w:rPr>
        <w:t xml:space="preserve"> </w:t>
      </w:r>
      <w:r w:rsidR="001E258E" w:rsidRPr="00897EBD">
        <w:rPr>
          <w:rFonts w:asciiTheme="majorBidi" w:hAnsiTheme="majorBidi" w:cstheme="majorBidi"/>
          <w:color w:val="0F243E" w:themeColor="text2" w:themeShade="80"/>
          <w:sz w:val="40"/>
          <w:szCs w:val="40"/>
          <w:lang w:bidi="ar-IQ"/>
        </w:rPr>
        <w:t xml:space="preserve"> </w:t>
      </w:r>
      <w:r w:rsidR="00641E61" w:rsidRPr="00897EBD">
        <w:rPr>
          <w:rFonts w:asciiTheme="majorBidi" w:hAnsiTheme="majorBidi" w:cstheme="majorBidi"/>
          <w:color w:val="0F243E" w:themeColor="text2" w:themeShade="80"/>
          <w:sz w:val="40"/>
          <w:szCs w:val="40"/>
          <w:lang w:bidi="ar-IQ"/>
        </w:rPr>
        <w:t>25</w:t>
      </w:r>
      <w:r w:rsidR="00222C13" w:rsidRPr="00897EBD">
        <w:rPr>
          <w:rFonts w:asciiTheme="majorBidi" w:hAnsiTheme="majorBidi" w:cstheme="majorBidi"/>
          <w:color w:val="0F243E" w:themeColor="text2" w:themeShade="80"/>
          <w:sz w:val="40"/>
          <w:szCs w:val="40"/>
          <w:lang w:bidi="ar-IQ"/>
        </w:rPr>
        <w:t xml:space="preserve"> </w:t>
      </w:r>
      <w:r w:rsidR="000C2C32" w:rsidRPr="00897EBD">
        <w:rPr>
          <w:rFonts w:asciiTheme="majorBidi" w:hAnsiTheme="majorBidi" w:cstheme="majorBidi"/>
          <w:color w:val="0F243E" w:themeColor="text2" w:themeShade="80"/>
          <w:sz w:val="40"/>
          <w:szCs w:val="40"/>
          <w:lang w:bidi="ar-IQ"/>
        </w:rPr>
        <w:t>Vole</w:t>
      </w:r>
      <w:r w:rsidR="00222C13" w:rsidRPr="00897EBD">
        <w:rPr>
          <w:rFonts w:asciiTheme="majorBidi" w:hAnsiTheme="majorBidi" w:cstheme="majorBidi"/>
          <w:color w:val="0F243E" w:themeColor="text2" w:themeShade="80"/>
          <w:sz w:val="40"/>
          <w:szCs w:val="40"/>
          <w:lang w:bidi="ar-IQ"/>
        </w:rPr>
        <w:t xml:space="preserve">  </w:t>
      </w:r>
      <w:r w:rsidR="00222C13" w:rsidRPr="00897EBD">
        <w:rPr>
          <w:rFonts w:asciiTheme="majorBidi" w:hAnsiTheme="majorBidi" w:cstheme="majorBidi"/>
          <w:color w:val="0F243E" w:themeColor="text2" w:themeShade="80"/>
          <w:sz w:val="40"/>
          <w:szCs w:val="40"/>
          <w:rtl/>
          <w:lang w:bidi="ar-IQ"/>
        </w:rPr>
        <w:t xml:space="preserve">     </w:t>
      </w:r>
      <w:r w:rsidR="00222C13" w:rsidRPr="00897EBD">
        <w:rPr>
          <w:rFonts w:asciiTheme="majorBidi" w:hAnsiTheme="majorBidi" w:cstheme="majorBidi"/>
          <w:color w:val="0F243E" w:themeColor="text2" w:themeShade="80"/>
          <w:sz w:val="40"/>
          <w:szCs w:val="40"/>
          <w:lang w:bidi="ar-IQ"/>
        </w:rPr>
        <w:t xml:space="preserve">         </w:t>
      </w:r>
    </w:p>
    <w:p w14:paraId="2C474AC8" w14:textId="5DB8F600" w:rsidR="00E25FA8" w:rsidRDefault="00E25FA8" w:rsidP="00641E61">
      <w:pPr>
        <w:pStyle w:val="a6"/>
        <w:ind w:firstLine="993"/>
        <w:rPr>
          <w:rFonts w:ascii="Algerian" w:hAnsi="Algerian" w:cstheme="minorHAnsi"/>
          <w:color w:val="0F243E" w:themeColor="text2" w:themeShade="80"/>
          <w:sz w:val="40"/>
          <w:szCs w:val="40"/>
          <w:lang w:bidi="ar-IQ"/>
        </w:rPr>
      </w:pPr>
      <w:r>
        <w:rPr>
          <w:rFonts w:cs="DecoType Thuluth"/>
          <w:noProof/>
          <w:sz w:val="28"/>
          <w:szCs w:val="28"/>
        </w:rPr>
        <w:drawing>
          <wp:anchor distT="0" distB="0" distL="114300" distR="114300" simplePos="0" relativeHeight="251684864" behindDoc="0" locked="0" layoutInCell="1" allowOverlap="1" wp14:anchorId="315CDFB7" wp14:editId="51570AD6">
            <wp:simplePos x="0" y="0"/>
            <wp:positionH relativeFrom="column">
              <wp:posOffset>2132770</wp:posOffset>
            </wp:positionH>
            <wp:positionV relativeFrom="paragraph">
              <wp:posOffset>241147</wp:posOffset>
            </wp:positionV>
            <wp:extent cx="1872691" cy="497434"/>
            <wp:effectExtent l="0" t="0" r="0" b="0"/>
            <wp:wrapNone/>
            <wp:docPr id="11" name="صورة 11" descr="C:\Users\LENOVO\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download.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1132" b="13170"/>
                    <a:stretch/>
                  </pic:blipFill>
                  <pic:spPr bwMode="auto">
                    <a:xfrm>
                      <a:off x="0" y="0"/>
                      <a:ext cx="1872691" cy="4974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0CA210" w14:textId="77777777" w:rsidR="00E25FA8" w:rsidRDefault="00E25FA8" w:rsidP="00641E61">
      <w:pPr>
        <w:pStyle w:val="a6"/>
        <w:ind w:firstLine="993"/>
        <w:rPr>
          <w:rFonts w:ascii="Algerian" w:hAnsi="Algerian" w:cstheme="minorHAnsi"/>
          <w:color w:val="0F243E" w:themeColor="text2" w:themeShade="80"/>
          <w:sz w:val="40"/>
          <w:szCs w:val="40"/>
          <w:lang w:bidi="ar-IQ"/>
        </w:rPr>
      </w:pPr>
    </w:p>
    <w:p w14:paraId="70B4D116" w14:textId="48BA75DA" w:rsidR="00222C13" w:rsidRPr="00222C13" w:rsidRDefault="00E25FA8" w:rsidP="00641E61">
      <w:pPr>
        <w:pStyle w:val="a6"/>
        <w:ind w:firstLine="993"/>
        <w:rPr>
          <w:rFonts w:cs="DecoType Thuluth"/>
          <w:sz w:val="28"/>
          <w:szCs w:val="28"/>
        </w:rPr>
      </w:pPr>
      <w:r w:rsidRPr="0017656A">
        <w:rPr>
          <w:rFonts w:ascii="Franklin Gothic Demi Cond" w:hAnsi="Franklin Gothic Demi Cond"/>
          <w:noProof/>
        </w:rPr>
        <w:drawing>
          <wp:anchor distT="0" distB="0" distL="114300" distR="114300" simplePos="0" relativeHeight="251682816" behindDoc="0" locked="0" layoutInCell="1" allowOverlap="1" wp14:anchorId="17DAFFD9" wp14:editId="34480EBA">
            <wp:simplePos x="0" y="0"/>
            <wp:positionH relativeFrom="column">
              <wp:posOffset>592455</wp:posOffset>
            </wp:positionH>
            <wp:positionV relativeFrom="paragraph">
              <wp:posOffset>67945</wp:posOffset>
            </wp:positionV>
            <wp:extent cx="1307465" cy="526415"/>
            <wp:effectExtent l="0" t="0" r="6985" b="6985"/>
            <wp:wrapNone/>
            <wp:docPr id="28" name="صورة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oowyesoowyesoowy.jpeg"/>
                    <pic:cNvPicPr/>
                  </pic:nvPicPr>
                  <pic:blipFill rotWithShape="1">
                    <a:blip r:embed="rId10" cstate="print">
                      <a:extLst>
                        <a:ext uri="{28A0092B-C50C-407E-A947-70E740481C1C}">
                          <a14:useLocalDpi xmlns:a14="http://schemas.microsoft.com/office/drawing/2010/main" val="0"/>
                        </a:ext>
                      </a:extLst>
                    </a:blip>
                    <a:srcRect l="5796" t="24299" r="1" b="8412"/>
                    <a:stretch/>
                  </pic:blipFill>
                  <pic:spPr bwMode="auto">
                    <a:xfrm>
                      <a:off x="0" y="0"/>
                      <a:ext cx="1307465" cy="526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6CA467" w14:textId="732AB6F9" w:rsidR="00DD648A" w:rsidRDefault="002B2043" w:rsidP="00222C13">
      <w:pPr>
        <w:tabs>
          <w:tab w:val="left" w:pos="1695"/>
        </w:tabs>
        <w:rPr>
          <w:rFonts w:cs="DecoType Thuluth"/>
          <w:sz w:val="28"/>
          <w:szCs w:val="28"/>
        </w:rPr>
      </w:pPr>
      <w:r>
        <w:rPr>
          <w:noProof/>
        </w:rPr>
        <w:drawing>
          <wp:anchor distT="0" distB="0" distL="114300" distR="114300" simplePos="0" relativeHeight="251676672" behindDoc="0" locked="0" layoutInCell="1" allowOverlap="1" wp14:anchorId="0F5572BE" wp14:editId="3A636196">
            <wp:simplePos x="0" y="0"/>
            <wp:positionH relativeFrom="column">
              <wp:posOffset>3656965</wp:posOffset>
            </wp:positionH>
            <wp:positionV relativeFrom="paragraph">
              <wp:posOffset>102463</wp:posOffset>
            </wp:positionV>
            <wp:extent cx="1863967" cy="420988"/>
            <wp:effectExtent l="0" t="0" r="3175" b="0"/>
            <wp:wrapNone/>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p5cn3qp5cn3qp5cn.jpeg"/>
                    <pic:cNvPicPr/>
                  </pic:nvPicPr>
                  <pic:blipFill rotWithShape="1">
                    <a:blip r:embed="rId11" cstate="print">
                      <a:extLst>
                        <a:ext uri="{28A0092B-C50C-407E-A947-70E740481C1C}">
                          <a14:useLocalDpi xmlns:a14="http://schemas.microsoft.com/office/drawing/2010/main" val="0"/>
                        </a:ext>
                      </a:extLst>
                    </a:blip>
                    <a:srcRect b="11053"/>
                    <a:stretch/>
                  </pic:blipFill>
                  <pic:spPr bwMode="auto">
                    <a:xfrm>
                      <a:off x="0" y="0"/>
                      <a:ext cx="1863967" cy="4209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2C13">
        <w:rPr>
          <w:rFonts w:cs="DecoType Thuluth"/>
          <w:sz w:val="28"/>
          <w:szCs w:val="28"/>
        </w:rPr>
        <w:tab/>
      </w:r>
      <w:r w:rsidR="00657CDD">
        <w:rPr>
          <w:rFonts w:cs="DecoType Thuluth"/>
          <w:sz w:val="28"/>
          <w:szCs w:val="28"/>
        </w:rPr>
        <w:t xml:space="preserve">         </w:t>
      </w:r>
    </w:p>
    <w:p w14:paraId="41D94337" w14:textId="57B2063D" w:rsidR="00DD648A" w:rsidRDefault="00E25FA8" w:rsidP="00657CDD">
      <w:pPr>
        <w:tabs>
          <w:tab w:val="left" w:pos="5280"/>
        </w:tabs>
        <w:rPr>
          <w:rFonts w:cs="DecoType Thuluth"/>
          <w:sz w:val="28"/>
          <w:szCs w:val="28"/>
        </w:rPr>
      </w:pPr>
      <w:r>
        <w:rPr>
          <w:noProof/>
        </w:rPr>
        <w:drawing>
          <wp:anchor distT="0" distB="0" distL="114300" distR="114300" simplePos="0" relativeHeight="251679744" behindDoc="0" locked="0" layoutInCell="1" allowOverlap="1" wp14:anchorId="227B3F4A" wp14:editId="79CD43D7">
            <wp:simplePos x="0" y="0"/>
            <wp:positionH relativeFrom="column">
              <wp:posOffset>3500755</wp:posOffset>
            </wp:positionH>
            <wp:positionV relativeFrom="paragraph">
              <wp:posOffset>325755</wp:posOffset>
            </wp:positionV>
            <wp:extent cx="2406650" cy="372110"/>
            <wp:effectExtent l="0" t="0" r="0" b="8890"/>
            <wp:wrapNone/>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rabwy1rabwy1rabw.jpeg"/>
                    <pic:cNvPicPr/>
                  </pic:nvPicPr>
                  <pic:blipFill rotWithShape="1">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l="629" t="12887" r="-9062" b="11419"/>
                    <a:stretch/>
                  </pic:blipFill>
                  <pic:spPr bwMode="auto">
                    <a:xfrm>
                      <a:off x="0" y="0"/>
                      <a:ext cx="2406650" cy="372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1792" behindDoc="0" locked="0" layoutInCell="1" allowOverlap="1" wp14:anchorId="5CEEC1D0" wp14:editId="63A631B1">
            <wp:simplePos x="0" y="0"/>
            <wp:positionH relativeFrom="column">
              <wp:posOffset>494030</wp:posOffset>
            </wp:positionH>
            <wp:positionV relativeFrom="paragraph">
              <wp:posOffset>45720</wp:posOffset>
            </wp:positionV>
            <wp:extent cx="2011680" cy="594360"/>
            <wp:effectExtent l="0" t="0" r="7620" b="0"/>
            <wp:wrapNone/>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vvk9fhvvk9fhvvk9.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1680" cy="594360"/>
                    </a:xfrm>
                    <a:prstGeom prst="rect">
                      <a:avLst/>
                    </a:prstGeom>
                  </pic:spPr>
                </pic:pic>
              </a:graphicData>
            </a:graphic>
            <wp14:sizeRelH relativeFrom="margin">
              <wp14:pctWidth>0</wp14:pctWidth>
            </wp14:sizeRelH>
            <wp14:sizeRelV relativeFrom="margin">
              <wp14:pctHeight>0</wp14:pctHeight>
            </wp14:sizeRelV>
          </wp:anchor>
        </w:drawing>
      </w:r>
      <w:r w:rsidR="00657CDD">
        <w:rPr>
          <w:rFonts w:cs="DecoType Thuluth"/>
          <w:sz w:val="28"/>
          <w:szCs w:val="28"/>
        </w:rPr>
        <w:t xml:space="preserve">   </w:t>
      </w:r>
      <w:r w:rsidR="00657CDD">
        <w:rPr>
          <w:rFonts w:cs="DecoType Thuluth"/>
          <w:sz w:val="28"/>
          <w:szCs w:val="28"/>
        </w:rPr>
        <w:tab/>
      </w:r>
      <w:r w:rsidR="0096392E">
        <w:rPr>
          <w:rFonts w:cs="DecoType Thuluth"/>
          <w:sz w:val="28"/>
          <w:szCs w:val="28"/>
        </w:rPr>
        <w:t xml:space="preserve">   </w:t>
      </w:r>
    </w:p>
    <w:p w14:paraId="6218E721" w14:textId="7CCE15CC" w:rsidR="00657CDD" w:rsidRDefault="001134DD" w:rsidP="00657CDD">
      <w:pPr>
        <w:tabs>
          <w:tab w:val="left" w:pos="5280"/>
        </w:tabs>
        <w:rPr>
          <w:rFonts w:cs="DecoType Thuluth"/>
          <w:sz w:val="28"/>
          <w:szCs w:val="28"/>
        </w:rPr>
      </w:pPr>
      <w:r>
        <w:rPr>
          <w:rFonts w:cs="DecoType Thuluth"/>
          <w:sz w:val="28"/>
          <w:szCs w:val="28"/>
        </w:rPr>
        <w:t xml:space="preserve">           </w:t>
      </w:r>
      <w:r w:rsidR="00243925">
        <w:rPr>
          <w:noProof/>
        </w:rPr>
        <w:t xml:space="preserve"> </w:t>
      </w:r>
    </w:p>
    <w:p w14:paraId="7067D10D" w14:textId="614418BE" w:rsidR="00657CDD" w:rsidRDefault="00E25FA8" w:rsidP="00657CDD">
      <w:pPr>
        <w:tabs>
          <w:tab w:val="left" w:pos="5280"/>
        </w:tabs>
        <w:rPr>
          <w:rFonts w:cs="DecoType Thuluth"/>
          <w:sz w:val="28"/>
          <w:szCs w:val="28"/>
        </w:rPr>
      </w:pPr>
      <w:r>
        <w:rPr>
          <w:noProof/>
        </w:rPr>
        <w:drawing>
          <wp:anchor distT="0" distB="0" distL="114300" distR="114300" simplePos="0" relativeHeight="251677696" behindDoc="0" locked="0" layoutInCell="1" allowOverlap="1" wp14:anchorId="2A2B0D17" wp14:editId="2868E800">
            <wp:simplePos x="0" y="0"/>
            <wp:positionH relativeFrom="column">
              <wp:posOffset>3502025</wp:posOffset>
            </wp:positionH>
            <wp:positionV relativeFrom="paragraph">
              <wp:posOffset>111760</wp:posOffset>
            </wp:positionV>
            <wp:extent cx="1586865" cy="467995"/>
            <wp:effectExtent l="0" t="0" r="0" b="8255"/>
            <wp:wrapNone/>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xvxx2qxvxx2qxvxx.jpeg"/>
                    <pic:cNvPicPr/>
                  </pic:nvPicPr>
                  <pic:blipFill rotWithShape="1">
                    <a:blip r:embed="rId15" cstate="print">
                      <a:extLst>
                        <a:ext uri="{28A0092B-C50C-407E-A947-70E740481C1C}">
                          <a14:useLocalDpi xmlns:a14="http://schemas.microsoft.com/office/drawing/2010/main" val="0"/>
                        </a:ext>
                      </a:extLst>
                    </a:blip>
                    <a:srcRect l="-1" r="73310" b="72279"/>
                    <a:stretch/>
                  </pic:blipFill>
                  <pic:spPr bwMode="auto">
                    <a:xfrm>
                      <a:off x="0" y="0"/>
                      <a:ext cx="1586865" cy="467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63F3D">
        <w:rPr>
          <w:noProof/>
        </w:rPr>
        <w:drawing>
          <wp:anchor distT="0" distB="0" distL="114300" distR="114300" simplePos="0" relativeHeight="251680768" behindDoc="1" locked="0" layoutInCell="1" allowOverlap="1" wp14:anchorId="17D42C7D" wp14:editId="0C7610A3">
            <wp:simplePos x="0" y="0"/>
            <wp:positionH relativeFrom="column">
              <wp:posOffset>494919</wp:posOffset>
            </wp:positionH>
            <wp:positionV relativeFrom="paragraph">
              <wp:posOffset>46990</wp:posOffset>
            </wp:positionV>
            <wp:extent cx="1791970" cy="710565"/>
            <wp:effectExtent l="0" t="0" r="0" b="0"/>
            <wp:wrapNone/>
            <wp:docPr id="26"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8ni6098ni6098ni6 (1).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91970" cy="710565"/>
                    </a:xfrm>
                    <a:prstGeom prst="rect">
                      <a:avLst/>
                    </a:prstGeom>
                  </pic:spPr>
                </pic:pic>
              </a:graphicData>
            </a:graphic>
            <wp14:sizeRelH relativeFrom="margin">
              <wp14:pctWidth>0</wp14:pctWidth>
            </wp14:sizeRelH>
            <wp14:sizeRelV relativeFrom="margin">
              <wp14:pctHeight>0</wp14:pctHeight>
            </wp14:sizeRelV>
          </wp:anchor>
        </w:drawing>
      </w:r>
      <w:r w:rsidR="001134DD">
        <w:rPr>
          <w:rFonts w:cs="DecoType Thuluth"/>
          <w:sz w:val="28"/>
          <w:szCs w:val="28"/>
        </w:rPr>
        <w:t xml:space="preserve">                    </w:t>
      </w:r>
      <w:r w:rsidR="00152597">
        <w:rPr>
          <w:rFonts w:hint="cs"/>
          <w:noProof/>
          <w:rtl/>
        </w:rPr>
        <w:t xml:space="preserve"> </w:t>
      </w:r>
    </w:p>
    <w:p w14:paraId="59CBC76C" w14:textId="59FC4601" w:rsidR="00657CDD" w:rsidRPr="00DD648A" w:rsidRDefault="00657CDD" w:rsidP="00657CDD">
      <w:pPr>
        <w:tabs>
          <w:tab w:val="left" w:pos="5280"/>
        </w:tabs>
        <w:rPr>
          <w:rFonts w:cs="DecoType Thuluth"/>
          <w:sz w:val="28"/>
          <w:szCs w:val="28"/>
        </w:rPr>
      </w:pPr>
    </w:p>
    <w:p w14:paraId="5E3A800E" w14:textId="77777777" w:rsidR="00E25FA8" w:rsidRDefault="00E25FA8" w:rsidP="00B455E4">
      <w:pPr>
        <w:pStyle w:val="a6"/>
        <w:jc w:val="center"/>
        <w:rPr>
          <w:rFonts w:cs="Calibri"/>
          <w:sz w:val="28"/>
          <w:szCs w:val="28"/>
          <w:rtl/>
          <w:lang w:bidi="ar-IQ"/>
        </w:rPr>
      </w:pPr>
    </w:p>
    <w:p w14:paraId="054F88E2" w14:textId="77777777" w:rsidR="00E25FA8" w:rsidRDefault="00E25FA8" w:rsidP="00B455E4">
      <w:pPr>
        <w:pStyle w:val="a6"/>
        <w:jc w:val="center"/>
        <w:rPr>
          <w:rFonts w:cs="Calibri"/>
          <w:sz w:val="28"/>
          <w:szCs w:val="28"/>
          <w:rtl/>
          <w:lang w:bidi="ar-IQ"/>
        </w:rPr>
      </w:pPr>
    </w:p>
    <w:p w14:paraId="59B7B928" w14:textId="4075F655" w:rsidR="00DD648A" w:rsidRPr="00243925" w:rsidRDefault="00DD648A" w:rsidP="00B455E4">
      <w:pPr>
        <w:pStyle w:val="a6"/>
        <w:jc w:val="center"/>
        <w:rPr>
          <w:rFonts w:cs="Calibri"/>
          <w:sz w:val="28"/>
          <w:szCs w:val="28"/>
          <w:rtl/>
          <w:lang w:bidi="ar-IQ"/>
        </w:rPr>
      </w:pPr>
      <w:r w:rsidRPr="00243925">
        <w:rPr>
          <w:rFonts w:cs="Times New Roman"/>
          <w:sz w:val="28"/>
          <w:szCs w:val="28"/>
          <w:rtl/>
          <w:lang w:bidi="ar-IQ"/>
        </w:rPr>
        <w:t>رقم الايداع في المكتبة الوطنية العراقية</w:t>
      </w:r>
      <w:r w:rsidRPr="00243925">
        <w:rPr>
          <w:rFonts w:cs="Calibri"/>
          <w:sz w:val="28"/>
          <w:szCs w:val="28"/>
          <w:rtl/>
          <w:lang w:bidi="ar-IQ"/>
        </w:rPr>
        <w:t xml:space="preserve">1326 </w:t>
      </w:r>
      <w:r w:rsidRPr="00243925">
        <w:rPr>
          <w:rFonts w:cs="Times New Roman"/>
          <w:sz w:val="28"/>
          <w:szCs w:val="28"/>
          <w:rtl/>
          <w:lang w:bidi="ar-IQ"/>
        </w:rPr>
        <w:t>لسنه</w:t>
      </w:r>
      <w:r w:rsidRPr="00243925">
        <w:rPr>
          <w:rFonts w:cs="Calibri"/>
          <w:sz w:val="28"/>
          <w:szCs w:val="28"/>
          <w:rtl/>
          <w:lang w:bidi="ar-IQ"/>
        </w:rPr>
        <w:t>2009</w:t>
      </w:r>
    </w:p>
    <w:p w14:paraId="78471529" w14:textId="77777777" w:rsidR="00DD648A" w:rsidRPr="007E2126" w:rsidRDefault="00CD17C3" w:rsidP="00B455E4">
      <w:pPr>
        <w:spacing w:after="0" w:line="240" w:lineRule="auto"/>
        <w:jc w:val="center"/>
        <w:rPr>
          <w:rFonts w:asciiTheme="majorBidi" w:hAnsiTheme="majorBidi" w:cstheme="majorBidi"/>
          <w:sz w:val="24"/>
          <w:szCs w:val="24"/>
          <w:rtl/>
          <w:lang w:bidi="ar-IQ"/>
        </w:rPr>
      </w:pPr>
      <w:hyperlink r:id="rId17" w:history="1">
        <w:r w:rsidR="00DD648A" w:rsidRPr="00DD648A">
          <w:rPr>
            <w:rFonts w:asciiTheme="majorBidi" w:hAnsiTheme="majorBidi" w:cstheme="majorBidi"/>
            <w:color w:val="0000FF" w:themeColor="hyperlink"/>
            <w:u w:val="single"/>
            <w:lang w:bidi="ar-IQ"/>
          </w:rPr>
          <w:t>journal.m.academy</w:t>
        </w:r>
        <w:r w:rsidR="00DD648A" w:rsidRPr="00DD648A">
          <w:rPr>
            <w:rFonts w:asciiTheme="majorBidi" w:hAnsiTheme="majorBidi" w:cstheme="majorBidi"/>
            <w:color w:val="0000FF" w:themeColor="hyperlink"/>
            <w:u w:val="single"/>
            <w:rtl/>
            <w:lang w:bidi="ar-IQ"/>
          </w:rPr>
          <w:t>@</w:t>
        </w:r>
        <w:r w:rsidR="00DD648A" w:rsidRPr="00DD648A">
          <w:rPr>
            <w:rFonts w:asciiTheme="majorBidi" w:hAnsiTheme="majorBidi" w:cstheme="majorBidi"/>
            <w:color w:val="0000FF" w:themeColor="hyperlink"/>
            <w:u w:val="single"/>
            <w:lang w:bidi="ar-IQ"/>
          </w:rPr>
          <w:t>uomisan.edu.iq</w:t>
        </w:r>
      </w:hyperlink>
    </w:p>
    <w:p w14:paraId="5A03B9BB" w14:textId="77777777" w:rsidR="00DD648A" w:rsidRPr="007E2126" w:rsidRDefault="00CD17C3" w:rsidP="00B455E4">
      <w:pPr>
        <w:spacing w:after="0" w:line="240" w:lineRule="auto"/>
        <w:jc w:val="center"/>
        <w:rPr>
          <w:rFonts w:asciiTheme="majorBidi" w:hAnsiTheme="majorBidi" w:cstheme="majorBidi"/>
          <w:sz w:val="24"/>
          <w:szCs w:val="24"/>
          <w:rtl/>
          <w:lang w:bidi="ar-IQ"/>
        </w:rPr>
      </w:pPr>
      <w:hyperlink r:id="rId18" w:history="1">
        <w:r w:rsidR="00DD648A" w:rsidRPr="007E2126">
          <w:rPr>
            <w:rFonts w:asciiTheme="majorBidi" w:hAnsiTheme="majorBidi" w:cstheme="majorBidi"/>
            <w:color w:val="0000FF" w:themeColor="hyperlink"/>
            <w:sz w:val="24"/>
            <w:szCs w:val="24"/>
            <w:u w:val="single"/>
            <w:lang w:bidi="ar-IQ"/>
          </w:rPr>
          <w:t>https://www.misan-jas.com/index.php/ojs</w:t>
        </w:r>
      </w:hyperlink>
    </w:p>
    <w:p w14:paraId="135D2483" w14:textId="74BD3B2C" w:rsidR="000C2C32" w:rsidRPr="007E2126" w:rsidRDefault="00CD17C3" w:rsidP="00B455E4">
      <w:pPr>
        <w:tabs>
          <w:tab w:val="left" w:pos="5190"/>
        </w:tabs>
        <w:jc w:val="center"/>
        <w:rPr>
          <w:rFonts w:asciiTheme="majorBidi" w:hAnsiTheme="majorBidi" w:cstheme="majorBidi"/>
          <w:sz w:val="24"/>
          <w:szCs w:val="24"/>
          <w:rtl/>
          <w:lang w:bidi="ar-IQ"/>
        </w:rPr>
      </w:pPr>
      <w:hyperlink r:id="rId19" w:history="1">
        <w:r w:rsidR="007E2126" w:rsidRPr="007E2126">
          <w:rPr>
            <w:rStyle w:val="Hyperlink"/>
            <w:rFonts w:asciiTheme="majorBidi" w:hAnsiTheme="majorBidi" w:cstheme="majorBidi"/>
            <w:sz w:val="24"/>
            <w:szCs w:val="24"/>
            <w:lang w:bidi="ar-IQ"/>
          </w:rPr>
          <w:t>https://iasj.rdd.edu.iq/journals/journal/view/298</w:t>
        </w:r>
      </w:hyperlink>
    </w:p>
    <w:p w14:paraId="116778A5" w14:textId="77777777" w:rsidR="007B2F3D" w:rsidRDefault="007B2F3D" w:rsidP="00DD648A">
      <w:pPr>
        <w:tabs>
          <w:tab w:val="left" w:pos="5190"/>
        </w:tabs>
        <w:rPr>
          <w:rFonts w:cs="DecoType Thuluth"/>
          <w:sz w:val="28"/>
          <w:szCs w:val="28"/>
          <w:lang w:bidi="ar-IQ"/>
        </w:rPr>
      </w:pPr>
    </w:p>
    <w:tbl>
      <w:tblPr>
        <w:tblStyle w:val="a9"/>
        <w:bidiVisual/>
        <w:tblW w:w="10035" w:type="dxa"/>
        <w:jc w:val="center"/>
        <w:tblLook w:val="04A0" w:firstRow="1" w:lastRow="0" w:firstColumn="1" w:lastColumn="0" w:noHBand="0" w:noVBand="1"/>
      </w:tblPr>
      <w:tblGrid>
        <w:gridCol w:w="720"/>
        <w:gridCol w:w="7962"/>
        <w:gridCol w:w="1353"/>
      </w:tblGrid>
      <w:tr w:rsidR="00186737" w:rsidRPr="002A0EE0" w14:paraId="4C887589" w14:textId="77777777" w:rsidTr="002A0EE0">
        <w:trPr>
          <w:jc w:val="center"/>
        </w:trPr>
        <w:tc>
          <w:tcPr>
            <w:tcW w:w="720" w:type="dxa"/>
            <w:tcBorders>
              <w:top w:val="single" w:sz="12" w:space="0" w:color="auto"/>
              <w:left w:val="single" w:sz="12" w:space="0" w:color="auto"/>
              <w:bottom w:val="single" w:sz="12" w:space="0" w:color="auto"/>
              <w:right w:val="single" w:sz="12" w:space="0" w:color="auto"/>
            </w:tcBorders>
            <w:shd w:val="clear" w:color="auto" w:fill="B6DDE8"/>
            <w:hideMark/>
          </w:tcPr>
          <w:p w14:paraId="46445585" w14:textId="77777777" w:rsidR="00186737" w:rsidRPr="002A0EE0" w:rsidRDefault="00186737" w:rsidP="002A0EE0">
            <w:pPr>
              <w:spacing w:line="276" w:lineRule="auto"/>
              <w:jc w:val="center"/>
              <w:rPr>
                <w:rFonts w:asciiTheme="majorBidi" w:hAnsiTheme="majorBidi" w:cstheme="majorBidi"/>
                <w:sz w:val="24"/>
                <w:szCs w:val="24"/>
              </w:rPr>
            </w:pPr>
            <w:bookmarkStart w:id="1" w:name="_Hlk226107421"/>
            <w:r w:rsidRPr="002A0EE0">
              <w:rPr>
                <w:rFonts w:asciiTheme="majorBidi" w:hAnsiTheme="majorBidi" w:cstheme="majorBidi"/>
                <w:sz w:val="24"/>
                <w:szCs w:val="24"/>
                <w:rtl/>
                <w:lang w:bidi="ar-IQ"/>
              </w:rPr>
              <w:lastRenderedPageBreak/>
              <w:t>ت</w:t>
            </w:r>
          </w:p>
        </w:tc>
        <w:tc>
          <w:tcPr>
            <w:tcW w:w="7962" w:type="dxa"/>
            <w:tcBorders>
              <w:top w:val="single" w:sz="12" w:space="0" w:color="auto"/>
              <w:left w:val="single" w:sz="12" w:space="0" w:color="auto"/>
              <w:bottom w:val="single" w:sz="12" w:space="0" w:color="auto"/>
              <w:right w:val="single" w:sz="12" w:space="0" w:color="auto"/>
            </w:tcBorders>
            <w:shd w:val="clear" w:color="auto" w:fill="B6DDE8"/>
            <w:hideMark/>
          </w:tcPr>
          <w:p w14:paraId="4691B3F2" w14:textId="77777777" w:rsidR="00186737" w:rsidRPr="002A0EE0" w:rsidRDefault="00186737" w:rsidP="002A0EE0">
            <w:pPr>
              <w:bidi/>
              <w:spacing w:line="276" w:lineRule="auto"/>
              <w:jc w:val="center"/>
              <w:rPr>
                <w:rFonts w:asciiTheme="majorBidi" w:hAnsiTheme="majorBidi" w:cstheme="majorBidi"/>
                <w:sz w:val="24"/>
                <w:szCs w:val="24"/>
                <w:rtl/>
                <w:lang w:bidi="ar-IQ"/>
              </w:rPr>
            </w:pPr>
            <w:r w:rsidRPr="002A0EE0">
              <w:rPr>
                <w:rFonts w:asciiTheme="majorBidi" w:hAnsiTheme="majorBidi" w:cstheme="majorBidi"/>
                <w:sz w:val="24"/>
                <w:szCs w:val="24"/>
                <w:rtl/>
                <w:lang w:bidi="ar-IQ"/>
              </w:rPr>
              <w:t>فهرس البحوث</w:t>
            </w:r>
          </w:p>
        </w:tc>
        <w:tc>
          <w:tcPr>
            <w:tcW w:w="1353" w:type="dxa"/>
            <w:tcBorders>
              <w:top w:val="single" w:sz="12" w:space="0" w:color="auto"/>
              <w:left w:val="single" w:sz="12" w:space="0" w:color="auto"/>
              <w:bottom w:val="single" w:sz="12" w:space="0" w:color="auto"/>
              <w:right w:val="single" w:sz="12" w:space="0" w:color="auto"/>
            </w:tcBorders>
            <w:shd w:val="clear" w:color="auto" w:fill="B6DDE8"/>
            <w:hideMark/>
          </w:tcPr>
          <w:p w14:paraId="5EB12294" w14:textId="77777777" w:rsidR="00186737" w:rsidRPr="002A0EE0" w:rsidRDefault="00186737" w:rsidP="002A0EE0">
            <w:pPr>
              <w:bidi/>
              <w:spacing w:line="276" w:lineRule="auto"/>
              <w:jc w:val="center"/>
              <w:rPr>
                <w:rFonts w:asciiTheme="majorBidi" w:hAnsiTheme="majorBidi" w:cstheme="majorBidi"/>
                <w:sz w:val="24"/>
                <w:szCs w:val="24"/>
                <w:rtl/>
                <w:lang w:bidi="ar-IQ"/>
              </w:rPr>
            </w:pPr>
            <w:r w:rsidRPr="002A0EE0">
              <w:rPr>
                <w:rFonts w:asciiTheme="majorBidi" w:hAnsiTheme="majorBidi" w:cstheme="majorBidi"/>
                <w:sz w:val="24"/>
                <w:szCs w:val="24"/>
                <w:rtl/>
                <w:lang w:bidi="ar-IQ"/>
              </w:rPr>
              <w:t>الصفحة</w:t>
            </w:r>
          </w:p>
        </w:tc>
      </w:tr>
      <w:tr w:rsidR="00651051" w:rsidRPr="002A0EE0" w14:paraId="4BE7AA9D"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2A11E695" w14:textId="75F482DC"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1</w:t>
            </w:r>
          </w:p>
        </w:tc>
        <w:tc>
          <w:tcPr>
            <w:tcW w:w="7962" w:type="dxa"/>
            <w:tcBorders>
              <w:top w:val="single" w:sz="4" w:space="0" w:color="auto"/>
              <w:left w:val="single" w:sz="12" w:space="0" w:color="auto"/>
              <w:bottom w:val="single" w:sz="4" w:space="0" w:color="auto"/>
              <w:right w:val="single" w:sz="12" w:space="0" w:color="auto"/>
            </w:tcBorders>
          </w:tcPr>
          <w:p w14:paraId="0BC7A57E" w14:textId="77777777" w:rsidR="00651051" w:rsidRPr="002A0EE0" w:rsidRDefault="00651051" w:rsidP="002A0EE0">
            <w:pPr>
              <w:pStyle w:val="a6"/>
              <w:tabs>
                <w:tab w:val="left" w:pos="7290"/>
              </w:tabs>
              <w:jc w:val="center"/>
              <w:rPr>
                <w:rFonts w:asciiTheme="majorBidi" w:eastAsia="Calibri" w:hAnsiTheme="majorBidi" w:cstheme="majorBidi"/>
                <w:kern w:val="2"/>
                <w:sz w:val="24"/>
                <w:szCs w:val="24"/>
                <w:lang w:bidi="ar-EG"/>
                <w14:ligatures w14:val="standardContextual"/>
              </w:rPr>
            </w:pPr>
            <w:r w:rsidRPr="002A0EE0">
              <w:rPr>
                <w:rFonts w:asciiTheme="majorBidi" w:eastAsia="Calibri" w:hAnsiTheme="majorBidi" w:cstheme="majorBidi"/>
                <w:kern w:val="2"/>
                <w:sz w:val="24"/>
                <w:szCs w:val="24"/>
                <w:lang w:bidi="ar-EG"/>
                <w14:ligatures w14:val="standardContextual"/>
              </w:rPr>
              <w:t>The Contrastive Values Between Voiced and Voiceless Sounds and Their Role in Ibn Arabi's Usage</w:t>
            </w:r>
          </w:p>
          <w:p w14:paraId="05249191" w14:textId="77777777" w:rsidR="00651051" w:rsidRPr="002A0EE0" w:rsidRDefault="00651051" w:rsidP="002A0EE0">
            <w:pPr>
              <w:tabs>
                <w:tab w:val="left" w:pos="7290"/>
              </w:tabs>
              <w:jc w:val="center"/>
              <w:rPr>
                <w:rFonts w:asciiTheme="majorBidi" w:hAnsiTheme="majorBidi" w:cstheme="majorBidi"/>
                <w:kern w:val="2"/>
                <w:sz w:val="24"/>
                <w:szCs w:val="24"/>
                <w:lang w:bidi="ar-EG"/>
                <w14:ligatures w14:val="standardContextual"/>
              </w:rPr>
            </w:pPr>
            <w:r w:rsidRPr="002A0EE0">
              <w:rPr>
                <w:rFonts w:asciiTheme="majorBidi" w:hAnsiTheme="majorBidi" w:cstheme="majorBidi"/>
                <w:kern w:val="2"/>
                <w:sz w:val="24"/>
                <w:szCs w:val="24"/>
                <w:lang w:bidi="ar-EG"/>
                <w14:ligatures w14:val="standardContextual"/>
              </w:rPr>
              <w:t>Enas Hamza Al-A'raji</w:t>
            </w:r>
          </w:p>
        </w:tc>
        <w:tc>
          <w:tcPr>
            <w:tcW w:w="1353" w:type="dxa"/>
            <w:tcBorders>
              <w:top w:val="single" w:sz="4" w:space="0" w:color="auto"/>
              <w:left w:val="single" w:sz="12" w:space="0" w:color="auto"/>
              <w:bottom w:val="single" w:sz="4" w:space="0" w:color="auto"/>
              <w:right w:val="single" w:sz="12" w:space="0" w:color="auto"/>
            </w:tcBorders>
            <w:vAlign w:val="center"/>
          </w:tcPr>
          <w:p w14:paraId="66F12364" w14:textId="1B075C18" w:rsidR="00651051" w:rsidRPr="002A0EE0" w:rsidRDefault="00651051" w:rsidP="002A0EE0">
            <w:pPr>
              <w:bidi/>
              <w:ind w:left="360"/>
              <w:jc w:val="both"/>
              <w:rPr>
                <w:rFonts w:asciiTheme="majorBidi" w:hAnsiTheme="majorBidi" w:cstheme="majorBidi"/>
                <w:sz w:val="24"/>
                <w:szCs w:val="24"/>
                <w:lang w:bidi="ar-IQ"/>
              </w:rPr>
            </w:pPr>
            <w:r>
              <w:rPr>
                <w:rFonts w:asciiTheme="majorBidi" w:hAnsiTheme="majorBidi" w:cstheme="majorBidi"/>
                <w:sz w:val="24"/>
                <w:szCs w:val="24"/>
                <w:lang w:bidi="ar-IQ"/>
              </w:rPr>
              <w:t>1_15</w:t>
            </w:r>
          </w:p>
        </w:tc>
      </w:tr>
      <w:tr w:rsidR="00651051" w:rsidRPr="002A0EE0" w14:paraId="319BF00C"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11892979" w14:textId="6A7ABEF6"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2</w:t>
            </w:r>
          </w:p>
        </w:tc>
        <w:tc>
          <w:tcPr>
            <w:tcW w:w="7962" w:type="dxa"/>
            <w:tcBorders>
              <w:top w:val="single" w:sz="4" w:space="0" w:color="auto"/>
              <w:left w:val="single" w:sz="12" w:space="0" w:color="auto"/>
              <w:bottom w:val="single" w:sz="4" w:space="0" w:color="auto"/>
              <w:right w:val="single" w:sz="12" w:space="0" w:color="auto"/>
            </w:tcBorders>
          </w:tcPr>
          <w:p w14:paraId="5608B1AA" w14:textId="77777777" w:rsidR="00651051" w:rsidRPr="002A0EE0" w:rsidRDefault="00651051" w:rsidP="002A0EE0">
            <w:pPr>
              <w:jc w:val="center"/>
              <w:rPr>
                <w:rFonts w:asciiTheme="majorBidi" w:hAnsiTheme="majorBidi" w:cstheme="majorBidi"/>
                <w:sz w:val="24"/>
                <w:szCs w:val="24"/>
              </w:rPr>
            </w:pPr>
            <w:r w:rsidRPr="002A0EE0">
              <w:rPr>
                <w:rFonts w:asciiTheme="majorBidi" w:hAnsiTheme="majorBidi" w:cstheme="majorBidi"/>
                <w:sz w:val="24"/>
                <w:szCs w:val="24"/>
              </w:rPr>
              <w:t>Geographical Analysis of the Housing Crisis in Al-Maimouna City According to Population Growth: A Study of Causes and Remedies</w:t>
            </w:r>
          </w:p>
          <w:p w14:paraId="2694B521" w14:textId="77777777" w:rsidR="00651051" w:rsidRPr="002A0EE0" w:rsidRDefault="00651051" w:rsidP="002A0EE0">
            <w:pPr>
              <w:jc w:val="center"/>
              <w:rPr>
                <w:rFonts w:asciiTheme="majorBidi" w:hAnsiTheme="majorBidi" w:cstheme="majorBidi"/>
                <w:sz w:val="24"/>
                <w:szCs w:val="24"/>
                <w:rtl/>
              </w:rPr>
            </w:pPr>
            <w:r w:rsidRPr="002A0EE0">
              <w:rPr>
                <w:rFonts w:asciiTheme="majorBidi" w:hAnsiTheme="majorBidi" w:cstheme="majorBidi"/>
                <w:sz w:val="24"/>
                <w:szCs w:val="24"/>
              </w:rPr>
              <w:t>Aya Basim Saddam .   Ahmed Syehood Hashim</w:t>
            </w:r>
          </w:p>
        </w:tc>
        <w:tc>
          <w:tcPr>
            <w:tcW w:w="1353" w:type="dxa"/>
            <w:tcBorders>
              <w:top w:val="single" w:sz="4" w:space="0" w:color="auto"/>
              <w:left w:val="single" w:sz="12" w:space="0" w:color="auto"/>
              <w:bottom w:val="single" w:sz="4" w:space="0" w:color="auto"/>
              <w:right w:val="single" w:sz="12" w:space="0" w:color="auto"/>
            </w:tcBorders>
            <w:vAlign w:val="center"/>
          </w:tcPr>
          <w:p w14:paraId="31F57BD2" w14:textId="0464C071"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16_41</w:t>
            </w:r>
          </w:p>
        </w:tc>
      </w:tr>
      <w:tr w:rsidR="00651051" w:rsidRPr="002A0EE0" w14:paraId="05F7A5E4"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4654BE25" w14:textId="5BAAE11E"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3</w:t>
            </w:r>
          </w:p>
        </w:tc>
        <w:tc>
          <w:tcPr>
            <w:tcW w:w="7962" w:type="dxa"/>
            <w:tcBorders>
              <w:top w:val="single" w:sz="4" w:space="0" w:color="auto"/>
              <w:left w:val="single" w:sz="12" w:space="0" w:color="auto"/>
              <w:bottom w:val="single" w:sz="4" w:space="0" w:color="auto"/>
              <w:right w:val="single" w:sz="12" w:space="0" w:color="auto"/>
            </w:tcBorders>
          </w:tcPr>
          <w:p w14:paraId="3C0F7DB7" w14:textId="77777777" w:rsidR="00651051" w:rsidRPr="002A0EE0" w:rsidRDefault="00651051" w:rsidP="002A0EE0">
            <w:pPr>
              <w:jc w:val="center"/>
              <w:rPr>
                <w:rFonts w:asciiTheme="majorBidi" w:eastAsia="Times New Roman" w:hAnsiTheme="majorBidi" w:cstheme="majorBidi"/>
                <w:sz w:val="24"/>
                <w:szCs w:val="24"/>
                <w:rtl/>
                <w:lang w:bidi="ar-IQ"/>
              </w:rPr>
            </w:pPr>
            <w:r w:rsidRPr="002A0EE0">
              <w:rPr>
                <w:rFonts w:asciiTheme="majorBidi" w:eastAsia="Times New Roman" w:hAnsiTheme="majorBidi" w:cstheme="majorBidi"/>
                <w:sz w:val="24"/>
                <w:szCs w:val="24"/>
              </w:rPr>
              <w:t>Advertising and its Aesthetic and Expressive Vocabulary</w:t>
            </w:r>
          </w:p>
          <w:p w14:paraId="39569B04" w14:textId="77777777" w:rsidR="00651051" w:rsidRPr="002A0EE0" w:rsidRDefault="00651051" w:rsidP="002A0EE0">
            <w:pPr>
              <w:jc w:val="center"/>
              <w:rPr>
                <w:rFonts w:asciiTheme="majorBidi" w:eastAsia="Times New Roman" w:hAnsiTheme="majorBidi" w:cstheme="majorBidi"/>
                <w:sz w:val="24"/>
                <w:szCs w:val="24"/>
                <w:rtl/>
              </w:rPr>
            </w:pPr>
            <w:r w:rsidRPr="002A0EE0">
              <w:rPr>
                <w:rFonts w:asciiTheme="majorBidi" w:eastAsia="Times New Roman" w:hAnsiTheme="majorBidi" w:cstheme="majorBidi"/>
                <w:sz w:val="24"/>
                <w:szCs w:val="24"/>
              </w:rPr>
              <w:t>Ali Zair Rasan Al-Muzani</w:t>
            </w:r>
            <w:r w:rsidRPr="002A0EE0">
              <w:rPr>
                <w:rFonts w:asciiTheme="majorBidi" w:eastAsia="Times New Roman" w:hAnsiTheme="majorBidi" w:cstheme="majorBidi"/>
                <w:sz w:val="24"/>
                <w:szCs w:val="24"/>
                <w:rtl/>
                <w:lang w:bidi="ar-IQ"/>
              </w:rPr>
              <w:t xml:space="preserve"> </w:t>
            </w:r>
            <w:r w:rsidRPr="002A0EE0">
              <w:rPr>
                <w:rFonts w:asciiTheme="majorBidi" w:eastAsia="Times New Roman" w:hAnsiTheme="majorBidi" w:cstheme="majorBidi"/>
                <w:sz w:val="24"/>
                <w:szCs w:val="24"/>
                <w:lang w:bidi="ar-IQ"/>
              </w:rPr>
              <w:t xml:space="preserve">, </w:t>
            </w:r>
            <w:r w:rsidRPr="002A0EE0">
              <w:rPr>
                <w:rFonts w:asciiTheme="majorBidi" w:eastAsia="Times New Roman" w:hAnsiTheme="majorBidi" w:cstheme="majorBidi"/>
                <w:sz w:val="24"/>
                <w:szCs w:val="24"/>
              </w:rPr>
              <w:t>Muhsin Ali Hussein</w:t>
            </w:r>
          </w:p>
        </w:tc>
        <w:tc>
          <w:tcPr>
            <w:tcW w:w="1353" w:type="dxa"/>
            <w:tcBorders>
              <w:top w:val="single" w:sz="4" w:space="0" w:color="auto"/>
              <w:left w:val="single" w:sz="12" w:space="0" w:color="auto"/>
              <w:bottom w:val="single" w:sz="4" w:space="0" w:color="auto"/>
              <w:right w:val="single" w:sz="12" w:space="0" w:color="auto"/>
            </w:tcBorders>
            <w:vAlign w:val="center"/>
          </w:tcPr>
          <w:p w14:paraId="4A85B182" w14:textId="2837599D"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42_64</w:t>
            </w:r>
          </w:p>
        </w:tc>
      </w:tr>
      <w:tr w:rsidR="00651051" w:rsidRPr="002A0EE0" w14:paraId="38ACB386"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08A3D141" w14:textId="06491FC2"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4</w:t>
            </w:r>
          </w:p>
        </w:tc>
        <w:tc>
          <w:tcPr>
            <w:tcW w:w="7962" w:type="dxa"/>
            <w:tcBorders>
              <w:top w:val="single" w:sz="4" w:space="0" w:color="auto"/>
              <w:left w:val="single" w:sz="12" w:space="0" w:color="auto"/>
              <w:bottom w:val="single" w:sz="4" w:space="0" w:color="auto"/>
              <w:right w:val="single" w:sz="12" w:space="0" w:color="auto"/>
            </w:tcBorders>
          </w:tcPr>
          <w:p w14:paraId="0F9F71A6" w14:textId="77777777" w:rsidR="00651051" w:rsidRPr="002A0EE0" w:rsidRDefault="00651051" w:rsidP="002A0EE0">
            <w:pPr>
              <w:pStyle w:val="a6"/>
              <w:jc w:val="center"/>
              <w:rPr>
                <w:rFonts w:asciiTheme="majorBidi" w:hAnsiTheme="majorBidi" w:cstheme="majorBidi"/>
                <w:sz w:val="24"/>
                <w:szCs w:val="24"/>
                <w:rtl/>
                <w:lang w:bidi="ar-IQ"/>
              </w:rPr>
            </w:pPr>
            <w:r w:rsidRPr="002A0EE0">
              <w:rPr>
                <w:rFonts w:asciiTheme="majorBidi" w:hAnsiTheme="majorBidi" w:cstheme="majorBidi"/>
                <w:sz w:val="24"/>
                <w:szCs w:val="24"/>
                <w:lang w:bidi="ar-IQ"/>
              </w:rPr>
              <w:t>A Reading of Polygamy between Islamic Legal Texts and Contemporary Transformation</w:t>
            </w:r>
            <w:r w:rsidRPr="002A0EE0">
              <w:rPr>
                <w:rFonts w:asciiTheme="majorBidi" w:hAnsiTheme="majorBidi" w:cstheme="majorBidi"/>
                <w:i/>
                <w:iCs/>
                <w:sz w:val="24"/>
                <w:szCs w:val="24"/>
                <w:lang w:bidi="ar-IQ"/>
              </w:rPr>
              <w:t>s</w:t>
            </w:r>
          </w:p>
          <w:p w14:paraId="72D7A845" w14:textId="77777777" w:rsidR="00651051" w:rsidRPr="002A0EE0" w:rsidRDefault="00651051" w:rsidP="002A0EE0">
            <w:pPr>
              <w:pStyle w:val="a6"/>
              <w:jc w:val="center"/>
              <w:rPr>
                <w:rFonts w:asciiTheme="majorBidi" w:hAnsiTheme="majorBidi" w:cstheme="majorBidi"/>
                <w:sz w:val="24"/>
                <w:szCs w:val="24"/>
                <w:lang w:bidi="ar-IQ"/>
              </w:rPr>
            </w:pPr>
            <w:r w:rsidRPr="002A0EE0">
              <w:rPr>
                <w:rFonts w:asciiTheme="majorBidi" w:hAnsiTheme="majorBidi" w:cstheme="majorBidi"/>
                <w:sz w:val="24"/>
                <w:szCs w:val="24"/>
                <w:lang w:bidi="ar-IQ"/>
              </w:rPr>
              <w:t>(An Analytical Study According to the Ja‘fari School of Jurisprudence)</w:t>
            </w:r>
          </w:p>
          <w:p w14:paraId="565F5D65" w14:textId="77777777" w:rsidR="00651051" w:rsidRPr="002A0EE0" w:rsidRDefault="00651051" w:rsidP="002A0EE0">
            <w:pPr>
              <w:pStyle w:val="a6"/>
              <w:jc w:val="center"/>
              <w:rPr>
                <w:rFonts w:asciiTheme="majorBidi" w:hAnsiTheme="majorBidi" w:cstheme="majorBidi"/>
                <w:sz w:val="24"/>
                <w:szCs w:val="24"/>
                <w:lang w:bidi="ar-IQ"/>
              </w:rPr>
            </w:pPr>
            <w:r w:rsidRPr="002A0EE0">
              <w:rPr>
                <w:rFonts w:asciiTheme="majorBidi" w:hAnsiTheme="majorBidi" w:cstheme="majorBidi"/>
                <w:sz w:val="24"/>
                <w:szCs w:val="24"/>
                <w:lang w:bidi="ar-IQ"/>
              </w:rPr>
              <w:t>Ali CHalloob Elalbl</w:t>
            </w:r>
          </w:p>
        </w:tc>
        <w:tc>
          <w:tcPr>
            <w:tcW w:w="1353" w:type="dxa"/>
            <w:tcBorders>
              <w:top w:val="single" w:sz="4" w:space="0" w:color="auto"/>
              <w:left w:val="single" w:sz="12" w:space="0" w:color="auto"/>
              <w:bottom w:val="single" w:sz="4" w:space="0" w:color="auto"/>
              <w:right w:val="single" w:sz="12" w:space="0" w:color="auto"/>
            </w:tcBorders>
            <w:vAlign w:val="center"/>
          </w:tcPr>
          <w:p w14:paraId="238ECF20" w14:textId="6E75961A"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65_76</w:t>
            </w:r>
          </w:p>
        </w:tc>
      </w:tr>
      <w:tr w:rsidR="00651051" w:rsidRPr="002A0EE0" w14:paraId="2F4AE64C"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546FFEA9" w14:textId="38F9898A"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5</w:t>
            </w:r>
          </w:p>
        </w:tc>
        <w:tc>
          <w:tcPr>
            <w:tcW w:w="7962" w:type="dxa"/>
            <w:tcBorders>
              <w:top w:val="single" w:sz="4" w:space="0" w:color="auto"/>
              <w:left w:val="single" w:sz="12" w:space="0" w:color="auto"/>
              <w:bottom w:val="single" w:sz="4" w:space="0" w:color="auto"/>
              <w:right w:val="single" w:sz="12" w:space="0" w:color="auto"/>
            </w:tcBorders>
          </w:tcPr>
          <w:p w14:paraId="67897135" w14:textId="77777777" w:rsidR="00651051" w:rsidRPr="002A0EE0" w:rsidRDefault="00651051" w:rsidP="002A0EE0">
            <w:pPr>
              <w:pStyle w:val="a6"/>
              <w:bidi/>
              <w:jc w:val="center"/>
              <w:rPr>
                <w:rFonts w:asciiTheme="majorBidi" w:hAnsiTheme="majorBidi" w:cstheme="majorBidi"/>
                <w:sz w:val="24"/>
                <w:szCs w:val="24"/>
                <w:lang w:bidi="ar-IQ"/>
              </w:rPr>
            </w:pPr>
            <w:r w:rsidRPr="002A0EE0">
              <w:rPr>
                <w:rFonts w:asciiTheme="majorBidi" w:hAnsiTheme="majorBidi" w:cstheme="majorBidi"/>
                <w:sz w:val="24"/>
                <w:szCs w:val="24"/>
                <w:lang w:bidi="ar-IQ"/>
              </w:rPr>
              <w:t>The Representations of the Zionist Soldier in the Collection of Stories "My Short Stories" by Nachum Mendel</w:t>
            </w:r>
          </w:p>
          <w:p w14:paraId="1EC8F9F6" w14:textId="77777777" w:rsidR="00651051" w:rsidRPr="002A0EE0" w:rsidRDefault="00651051" w:rsidP="002A0EE0">
            <w:pPr>
              <w:pStyle w:val="a6"/>
              <w:bidi/>
              <w:jc w:val="center"/>
              <w:rPr>
                <w:rFonts w:asciiTheme="majorBidi" w:hAnsiTheme="majorBidi" w:cstheme="majorBidi"/>
                <w:sz w:val="24"/>
                <w:szCs w:val="24"/>
                <w:rtl/>
                <w:lang w:bidi="he-IL"/>
              </w:rPr>
            </w:pPr>
            <w:r w:rsidRPr="002A0EE0">
              <w:rPr>
                <w:rFonts w:asciiTheme="majorBidi" w:hAnsiTheme="majorBidi" w:cstheme="majorBidi"/>
                <w:sz w:val="24"/>
                <w:szCs w:val="24"/>
                <w:lang w:bidi="he-IL"/>
              </w:rPr>
              <w:t>Ammar Muhammad Hattab</w:t>
            </w:r>
          </w:p>
        </w:tc>
        <w:tc>
          <w:tcPr>
            <w:tcW w:w="1353" w:type="dxa"/>
            <w:tcBorders>
              <w:top w:val="single" w:sz="4" w:space="0" w:color="auto"/>
              <w:left w:val="single" w:sz="12" w:space="0" w:color="auto"/>
              <w:bottom w:val="single" w:sz="4" w:space="0" w:color="auto"/>
              <w:right w:val="single" w:sz="12" w:space="0" w:color="auto"/>
            </w:tcBorders>
            <w:vAlign w:val="center"/>
          </w:tcPr>
          <w:p w14:paraId="1F2A27F0" w14:textId="300C5AE2"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77_91</w:t>
            </w:r>
          </w:p>
        </w:tc>
      </w:tr>
      <w:tr w:rsidR="00651051" w:rsidRPr="002A0EE0" w14:paraId="46C6A09E"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6771CFB8" w14:textId="03F90057"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6</w:t>
            </w:r>
          </w:p>
        </w:tc>
        <w:tc>
          <w:tcPr>
            <w:tcW w:w="7962" w:type="dxa"/>
            <w:tcBorders>
              <w:top w:val="single" w:sz="4" w:space="0" w:color="auto"/>
              <w:left w:val="single" w:sz="12" w:space="0" w:color="auto"/>
              <w:bottom w:val="single" w:sz="4" w:space="0" w:color="auto"/>
              <w:right w:val="single" w:sz="12" w:space="0" w:color="auto"/>
            </w:tcBorders>
          </w:tcPr>
          <w:p w14:paraId="143AA515" w14:textId="77777777" w:rsidR="00651051" w:rsidRPr="002A0EE0" w:rsidRDefault="00651051" w:rsidP="002A0EE0">
            <w:pPr>
              <w:jc w:val="center"/>
              <w:rPr>
                <w:rFonts w:asciiTheme="majorBidi" w:hAnsiTheme="majorBidi" w:cstheme="majorBidi"/>
                <w:sz w:val="24"/>
                <w:szCs w:val="24"/>
              </w:rPr>
            </w:pPr>
            <w:r w:rsidRPr="002A0EE0">
              <w:rPr>
                <w:rFonts w:asciiTheme="majorBidi" w:hAnsiTheme="majorBidi" w:cstheme="majorBidi"/>
                <w:sz w:val="24"/>
                <w:szCs w:val="24"/>
              </w:rPr>
              <w:t>The Relationship Between Genetic Mutations and Autism Spectrum Disorder: A Comprehensive Review</w:t>
            </w:r>
          </w:p>
          <w:p w14:paraId="28DBC4F0" w14:textId="77777777" w:rsidR="00651051" w:rsidRPr="002A0EE0" w:rsidRDefault="00651051" w:rsidP="002A0EE0">
            <w:pPr>
              <w:jc w:val="center"/>
              <w:rPr>
                <w:rFonts w:asciiTheme="majorBidi" w:eastAsia="Times New Roman" w:hAnsiTheme="majorBidi" w:cstheme="majorBidi"/>
                <w:sz w:val="24"/>
                <w:szCs w:val="24"/>
                <w:vertAlign w:val="superscript"/>
                <w:rtl/>
              </w:rPr>
            </w:pPr>
            <w:r w:rsidRPr="002A0EE0">
              <w:rPr>
                <w:rFonts w:asciiTheme="majorBidi" w:hAnsiTheme="majorBidi" w:cstheme="majorBidi"/>
                <w:sz w:val="24"/>
                <w:szCs w:val="24"/>
              </w:rPr>
              <w:t xml:space="preserve">Raghad Jabbar Abdul </w:t>
            </w:r>
            <w:r w:rsidRPr="002A0EE0">
              <w:rPr>
                <w:rFonts w:asciiTheme="majorBidi" w:eastAsia="Times New Roman" w:hAnsiTheme="majorBidi" w:cstheme="majorBidi"/>
                <w:sz w:val="24"/>
                <w:szCs w:val="24"/>
              </w:rPr>
              <w:t>Sahib</w:t>
            </w:r>
            <w:r w:rsidRPr="002A0EE0">
              <w:rPr>
                <w:rFonts w:asciiTheme="majorBidi" w:eastAsia="Times New Roman" w:hAnsiTheme="majorBidi" w:cstheme="majorBidi"/>
                <w:sz w:val="24"/>
                <w:szCs w:val="24"/>
                <w:vertAlign w:val="superscript"/>
              </w:rPr>
              <w:t xml:space="preserve"> </w:t>
            </w:r>
            <w:r w:rsidRPr="002A0EE0">
              <w:rPr>
                <w:rFonts w:asciiTheme="majorBidi" w:eastAsia="Times New Roman" w:hAnsiTheme="majorBidi" w:cstheme="majorBidi"/>
                <w:sz w:val="24"/>
                <w:szCs w:val="24"/>
              </w:rPr>
              <w:t>, Zahraa Qasim Mousa</w:t>
            </w:r>
            <w:r w:rsidRPr="002A0EE0">
              <w:rPr>
                <w:rFonts w:asciiTheme="majorBidi" w:eastAsia="Times New Roman" w:hAnsiTheme="majorBidi" w:cstheme="majorBidi"/>
                <w:sz w:val="24"/>
                <w:szCs w:val="24"/>
                <w:vertAlign w:val="superscript"/>
              </w:rPr>
              <w:t xml:space="preserve"> </w:t>
            </w:r>
            <w:r w:rsidRPr="002A0EE0">
              <w:rPr>
                <w:rFonts w:asciiTheme="majorBidi" w:eastAsia="Times New Roman" w:hAnsiTheme="majorBidi" w:cstheme="majorBidi"/>
                <w:sz w:val="24"/>
                <w:szCs w:val="24"/>
              </w:rPr>
              <w:t>, Rehal Jehad Husain</w:t>
            </w:r>
            <w:r w:rsidRPr="002A0EE0">
              <w:rPr>
                <w:rFonts w:asciiTheme="majorBidi" w:eastAsia="Times New Roman" w:hAnsiTheme="majorBidi" w:cstheme="majorBidi"/>
                <w:sz w:val="24"/>
                <w:szCs w:val="24"/>
                <w:vertAlign w:val="superscript"/>
              </w:rPr>
              <w:t xml:space="preserve">     </w:t>
            </w:r>
          </w:p>
        </w:tc>
        <w:tc>
          <w:tcPr>
            <w:tcW w:w="1353" w:type="dxa"/>
            <w:tcBorders>
              <w:top w:val="single" w:sz="4" w:space="0" w:color="auto"/>
              <w:left w:val="single" w:sz="12" w:space="0" w:color="auto"/>
              <w:bottom w:val="single" w:sz="4" w:space="0" w:color="auto"/>
              <w:right w:val="single" w:sz="12" w:space="0" w:color="auto"/>
            </w:tcBorders>
            <w:vAlign w:val="center"/>
          </w:tcPr>
          <w:p w14:paraId="121EE868" w14:textId="65075841"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92_107</w:t>
            </w:r>
          </w:p>
        </w:tc>
      </w:tr>
      <w:tr w:rsidR="00651051" w:rsidRPr="002A0EE0" w14:paraId="2C9F5ACC"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4D0CA823" w14:textId="35F642F6"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7</w:t>
            </w:r>
          </w:p>
        </w:tc>
        <w:tc>
          <w:tcPr>
            <w:tcW w:w="7962" w:type="dxa"/>
            <w:tcBorders>
              <w:top w:val="single" w:sz="4" w:space="0" w:color="auto"/>
              <w:left w:val="single" w:sz="12" w:space="0" w:color="auto"/>
              <w:bottom w:val="single" w:sz="4" w:space="0" w:color="auto"/>
              <w:right w:val="single" w:sz="12" w:space="0" w:color="auto"/>
            </w:tcBorders>
          </w:tcPr>
          <w:p w14:paraId="799B1F47" w14:textId="77777777" w:rsidR="00651051" w:rsidRPr="002A0EE0" w:rsidRDefault="00651051" w:rsidP="002A0EE0">
            <w:pPr>
              <w:jc w:val="center"/>
              <w:rPr>
                <w:rFonts w:asciiTheme="majorBidi" w:hAnsiTheme="majorBidi" w:cstheme="majorBidi"/>
                <w:sz w:val="24"/>
                <w:szCs w:val="24"/>
              </w:rPr>
            </w:pPr>
            <w:r w:rsidRPr="002A0EE0">
              <w:rPr>
                <w:rFonts w:asciiTheme="majorBidi" w:hAnsiTheme="majorBidi" w:cstheme="majorBidi"/>
                <w:sz w:val="24"/>
                <w:szCs w:val="24"/>
              </w:rPr>
              <w:t>The Reflection of Iraqi Reality in Feminist Poetry after 2003:</w:t>
            </w:r>
            <w:r w:rsidRPr="002A0EE0">
              <w:rPr>
                <w:rFonts w:asciiTheme="majorBidi" w:hAnsiTheme="majorBidi" w:cstheme="majorBidi"/>
                <w:sz w:val="24"/>
                <w:szCs w:val="24"/>
              </w:rPr>
              <w:br/>
              <w:t xml:space="preserve"> A Study in Selected Models</w:t>
            </w:r>
          </w:p>
          <w:p w14:paraId="4F0BDB75" w14:textId="77777777" w:rsidR="00651051" w:rsidRPr="002A0EE0" w:rsidRDefault="00651051" w:rsidP="002A0EE0">
            <w:pPr>
              <w:pStyle w:val="IGJ13authornames"/>
              <w:spacing w:after="0"/>
              <w:ind w:right="-270"/>
              <w:jc w:val="center"/>
              <w:rPr>
                <w:rFonts w:hAnsiTheme="majorBidi" w:cstheme="majorBidi"/>
                <w:b w:val="0"/>
                <w:sz w:val="24"/>
                <w:szCs w:val="24"/>
                <w:rtl/>
              </w:rPr>
            </w:pPr>
            <w:r w:rsidRPr="002A0EE0">
              <w:rPr>
                <w:rFonts w:asciiTheme="majorBidi" w:eastAsia="Calibri" w:hAnsiTheme="majorBidi" w:cstheme="majorBidi"/>
                <w:b w:val="0"/>
                <w:sz w:val="24"/>
                <w:szCs w:val="24"/>
                <w:lang w:bidi="ar-IQ"/>
              </w:rPr>
              <w:t>Hiba Salman Musa,</w:t>
            </w:r>
            <w:r w:rsidRPr="002A0EE0">
              <w:rPr>
                <w:rFonts w:asciiTheme="majorBidi" w:eastAsia="Calibri" w:hAnsiTheme="majorBidi" w:cstheme="majorBidi"/>
                <w:b w:val="0"/>
                <w:sz w:val="24"/>
                <w:szCs w:val="24"/>
              </w:rPr>
              <w:t xml:space="preserve"> </w:t>
            </w:r>
            <w:r w:rsidRPr="002A0EE0">
              <w:rPr>
                <w:rFonts w:asciiTheme="majorBidi" w:eastAsia="Calibri" w:hAnsiTheme="majorBidi" w:cstheme="majorBidi"/>
                <w:b w:val="0"/>
                <w:sz w:val="24"/>
                <w:szCs w:val="24"/>
                <w:lang w:bidi="ar-IQ"/>
              </w:rPr>
              <w:t>Raad Hawir Sweilem</w:t>
            </w:r>
          </w:p>
        </w:tc>
        <w:tc>
          <w:tcPr>
            <w:tcW w:w="1353" w:type="dxa"/>
            <w:tcBorders>
              <w:top w:val="single" w:sz="4" w:space="0" w:color="auto"/>
              <w:left w:val="single" w:sz="12" w:space="0" w:color="auto"/>
              <w:bottom w:val="single" w:sz="4" w:space="0" w:color="auto"/>
              <w:right w:val="single" w:sz="12" w:space="0" w:color="auto"/>
            </w:tcBorders>
            <w:vAlign w:val="center"/>
          </w:tcPr>
          <w:p w14:paraId="14EEEA4D" w14:textId="65D1B2BE"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108_121</w:t>
            </w:r>
          </w:p>
        </w:tc>
      </w:tr>
      <w:tr w:rsidR="00651051" w:rsidRPr="002A0EE0" w14:paraId="08E65F1C"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786B213E" w14:textId="471A75AC"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8</w:t>
            </w:r>
          </w:p>
        </w:tc>
        <w:tc>
          <w:tcPr>
            <w:tcW w:w="7962" w:type="dxa"/>
            <w:tcBorders>
              <w:top w:val="single" w:sz="4" w:space="0" w:color="auto"/>
              <w:left w:val="single" w:sz="12" w:space="0" w:color="auto"/>
              <w:bottom w:val="single" w:sz="4" w:space="0" w:color="auto"/>
              <w:right w:val="single" w:sz="12" w:space="0" w:color="auto"/>
            </w:tcBorders>
          </w:tcPr>
          <w:p w14:paraId="40E73F42" w14:textId="77777777" w:rsidR="00651051" w:rsidRPr="002A0EE0" w:rsidRDefault="00651051" w:rsidP="002A0EE0">
            <w:pPr>
              <w:jc w:val="center"/>
              <w:rPr>
                <w:rFonts w:asciiTheme="majorBidi" w:hAnsiTheme="majorBidi" w:cstheme="majorBidi"/>
                <w:sz w:val="24"/>
                <w:szCs w:val="24"/>
                <w:lang w:bidi="ar-IQ"/>
              </w:rPr>
            </w:pPr>
            <w:r w:rsidRPr="002A0EE0">
              <w:rPr>
                <w:rFonts w:asciiTheme="majorBidi" w:hAnsiTheme="majorBidi" w:cstheme="majorBidi"/>
                <w:sz w:val="24"/>
                <w:szCs w:val="24"/>
              </w:rPr>
              <w:t>Humor and Seriousness in the Poetry of Ibn al-Mu'tazz</w:t>
            </w:r>
          </w:p>
          <w:p w14:paraId="0272AB03" w14:textId="77777777" w:rsidR="00651051" w:rsidRPr="002A0EE0" w:rsidRDefault="00651051" w:rsidP="002A0EE0">
            <w:pPr>
              <w:jc w:val="center"/>
              <w:rPr>
                <w:rFonts w:asciiTheme="majorBidi" w:hAnsiTheme="majorBidi" w:cstheme="majorBidi"/>
                <w:sz w:val="24"/>
                <w:szCs w:val="24"/>
                <w:rtl/>
                <w:lang w:bidi="ar-IQ"/>
              </w:rPr>
            </w:pPr>
            <w:r w:rsidRPr="002A0EE0">
              <w:rPr>
                <w:rFonts w:asciiTheme="majorBidi" w:hAnsiTheme="majorBidi" w:cstheme="majorBidi"/>
                <w:sz w:val="24"/>
                <w:szCs w:val="24"/>
                <w:lang w:bidi="ar-IQ"/>
              </w:rPr>
              <w:t>Saja Jassim Mohammed</w:t>
            </w:r>
          </w:p>
        </w:tc>
        <w:tc>
          <w:tcPr>
            <w:tcW w:w="1353" w:type="dxa"/>
            <w:tcBorders>
              <w:top w:val="single" w:sz="4" w:space="0" w:color="auto"/>
              <w:left w:val="single" w:sz="12" w:space="0" w:color="auto"/>
              <w:bottom w:val="single" w:sz="4" w:space="0" w:color="auto"/>
              <w:right w:val="single" w:sz="12" w:space="0" w:color="auto"/>
            </w:tcBorders>
            <w:vAlign w:val="center"/>
          </w:tcPr>
          <w:p w14:paraId="04173203" w14:textId="38C309E7"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122_139</w:t>
            </w:r>
          </w:p>
        </w:tc>
      </w:tr>
      <w:tr w:rsidR="00651051" w:rsidRPr="002A0EE0" w14:paraId="59106093"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08DB5A41" w14:textId="5B055EF4"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9</w:t>
            </w:r>
          </w:p>
        </w:tc>
        <w:tc>
          <w:tcPr>
            <w:tcW w:w="7962" w:type="dxa"/>
            <w:tcBorders>
              <w:top w:val="single" w:sz="4" w:space="0" w:color="auto"/>
              <w:left w:val="single" w:sz="12" w:space="0" w:color="auto"/>
              <w:bottom w:val="single" w:sz="4" w:space="0" w:color="auto"/>
              <w:right w:val="single" w:sz="12" w:space="0" w:color="auto"/>
            </w:tcBorders>
          </w:tcPr>
          <w:p w14:paraId="622236D2" w14:textId="77777777" w:rsidR="00651051" w:rsidRPr="002A0EE0" w:rsidRDefault="00651051" w:rsidP="002A0EE0">
            <w:pPr>
              <w:ind w:firstLine="431"/>
              <w:jc w:val="center"/>
              <w:rPr>
                <w:rFonts w:asciiTheme="majorBidi" w:eastAsia="Times New Roman" w:hAnsiTheme="majorBidi" w:cstheme="majorBidi"/>
                <w:sz w:val="24"/>
                <w:szCs w:val="24"/>
              </w:rPr>
            </w:pPr>
            <w:r w:rsidRPr="002A0EE0">
              <w:rPr>
                <w:rFonts w:asciiTheme="majorBidi" w:eastAsia="Times New Roman" w:hAnsiTheme="majorBidi" w:cstheme="majorBidi"/>
                <w:sz w:val="24"/>
                <w:szCs w:val="24"/>
              </w:rPr>
              <w:t>The Juristic Premises of Martyr Muḥammad Bāqir al-Sadr</w:t>
            </w:r>
          </w:p>
          <w:p w14:paraId="559E0CF7" w14:textId="77777777" w:rsidR="00651051" w:rsidRPr="002A0EE0" w:rsidRDefault="00651051" w:rsidP="002A0EE0">
            <w:pPr>
              <w:ind w:firstLine="431"/>
              <w:jc w:val="center"/>
              <w:rPr>
                <w:rFonts w:asciiTheme="majorBidi" w:eastAsia="Times New Roman" w:hAnsiTheme="majorBidi" w:cstheme="majorBidi"/>
                <w:sz w:val="24"/>
                <w:szCs w:val="24"/>
              </w:rPr>
            </w:pPr>
            <w:r w:rsidRPr="002A0EE0">
              <w:rPr>
                <w:rFonts w:asciiTheme="majorBidi" w:eastAsia="Times New Roman" w:hAnsiTheme="majorBidi" w:cstheme="majorBidi"/>
                <w:sz w:val="24"/>
                <w:szCs w:val="24"/>
              </w:rPr>
              <w:t>(A Study of the Most Significant Rijāl and Legal-Theoretical Opinions and Their Impact on Fatwā)</w:t>
            </w:r>
          </w:p>
          <w:p w14:paraId="2B6445DC" w14:textId="77777777" w:rsidR="00651051" w:rsidRPr="002A0EE0" w:rsidRDefault="00651051" w:rsidP="002A0EE0">
            <w:pPr>
              <w:jc w:val="center"/>
              <w:rPr>
                <w:rFonts w:asciiTheme="majorBidi" w:hAnsiTheme="majorBidi" w:cstheme="majorBidi"/>
                <w:sz w:val="24"/>
                <w:szCs w:val="24"/>
                <w:rtl/>
              </w:rPr>
            </w:pPr>
            <w:r w:rsidRPr="002A0EE0">
              <w:rPr>
                <w:rFonts w:asciiTheme="majorBidi" w:eastAsia="Times New Roman" w:hAnsiTheme="majorBidi" w:cstheme="majorBidi"/>
                <w:sz w:val="24"/>
                <w:szCs w:val="24"/>
              </w:rPr>
              <w:t>Falah Abdul Hassan Hashem</w:t>
            </w:r>
          </w:p>
        </w:tc>
        <w:tc>
          <w:tcPr>
            <w:tcW w:w="1353" w:type="dxa"/>
            <w:tcBorders>
              <w:top w:val="single" w:sz="4" w:space="0" w:color="auto"/>
              <w:left w:val="single" w:sz="12" w:space="0" w:color="auto"/>
              <w:bottom w:val="single" w:sz="4" w:space="0" w:color="auto"/>
              <w:right w:val="single" w:sz="12" w:space="0" w:color="auto"/>
            </w:tcBorders>
            <w:vAlign w:val="center"/>
          </w:tcPr>
          <w:p w14:paraId="40D8D280" w14:textId="2D5FA575"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140_161</w:t>
            </w:r>
          </w:p>
        </w:tc>
      </w:tr>
      <w:tr w:rsidR="00651051" w:rsidRPr="002A0EE0" w14:paraId="17F7BBC6"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6455CCB4" w14:textId="61F86A04"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10</w:t>
            </w:r>
          </w:p>
        </w:tc>
        <w:tc>
          <w:tcPr>
            <w:tcW w:w="7962" w:type="dxa"/>
            <w:tcBorders>
              <w:top w:val="single" w:sz="4" w:space="0" w:color="auto"/>
              <w:left w:val="single" w:sz="12" w:space="0" w:color="auto"/>
              <w:bottom w:val="single" w:sz="4" w:space="0" w:color="auto"/>
              <w:right w:val="single" w:sz="12" w:space="0" w:color="auto"/>
            </w:tcBorders>
          </w:tcPr>
          <w:p w14:paraId="4A9B0568" w14:textId="77777777" w:rsidR="00651051" w:rsidRPr="002A0EE0" w:rsidRDefault="00651051" w:rsidP="002A0EE0">
            <w:pPr>
              <w:spacing w:line="259" w:lineRule="auto"/>
              <w:jc w:val="center"/>
              <w:rPr>
                <w:rFonts w:asciiTheme="majorBidi" w:hAnsiTheme="majorBidi" w:cstheme="majorBidi"/>
                <w:sz w:val="24"/>
                <w:szCs w:val="24"/>
              </w:rPr>
            </w:pPr>
            <w:r w:rsidRPr="002A0EE0">
              <w:rPr>
                <w:rFonts w:asciiTheme="majorBidi" w:hAnsiTheme="majorBidi" w:cstheme="majorBidi"/>
                <w:sz w:val="24"/>
                <w:szCs w:val="24"/>
              </w:rPr>
              <w:t>The Mudarib’s Entitlement to Expenses during Ḥaḍar: A Jurisprudential Study in Light of the Five Schools of Islamic Law</w:t>
            </w:r>
          </w:p>
          <w:p w14:paraId="382B55D3" w14:textId="77777777" w:rsidR="00651051" w:rsidRPr="002A0EE0" w:rsidRDefault="00651051" w:rsidP="002A0EE0">
            <w:pPr>
              <w:jc w:val="center"/>
              <w:rPr>
                <w:rFonts w:asciiTheme="majorBidi" w:hAnsiTheme="majorBidi" w:cstheme="majorBidi"/>
                <w:sz w:val="24"/>
                <w:szCs w:val="24"/>
                <w:rtl/>
              </w:rPr>
            </w:pPr>
            <w:r w:rsidRPr="002A0EE0">
              <w:rPr>
                <w:rFonts w:asciiTheme="majorBidi" w:hAnsiTheme="majorBidi" w:cstheme="majorBidi"/>
                <w:sz w:val="24"/>
                <w:szCs w:val="24"/>
              </w:rPr>
              <w:t xml:space="preserve">Lamia Majid Dhahid Al-Hajjaji </w:t>
            </w:r>
            <w:r w:rsidRPr="002A0EE0">
              <w:rPr>
                <w:rFonts w:asciiTheme="majorBidi" w:hAnsiTheme="majorBidi" w:cstheme="majorBidi"/>
                <w:sz w:val="24"/>
                <w:szCs w:val="24"/>
                <w:rtl/>
              </w:rPr>
              <w:t xml:space="preserve">  </w:t>
            </w:r>
            <w:r w:rsidRPr="002A0EE0">
              <w:rPr>
                <w:rFonts w:asciiTheme="majorBidi" w:hAnsiTheme="majorBidi" w:cstheme="majorBidi"/>
                <w:sz w:val="24"/>
                <w:szCs w:val="24"/>
              </w:rPr>
              <w:t>Ahmad Mortezaei      Mohammad Amin-Fard</w:t>
            </w:r>
          </w:p>
        </w:tc>
        <w:tc>
          <w:tcPr>
            <w:tcW w:w="1353" w:type="dxa"/>
            <w:tcBorders>
              <w:top w:val="single" w:sz="4" w:space="0" w:color="auto"/>
              <w:left w:val="single" w:sz="12" w:space="0" w:color="auto"/>
              <w:bottom w:val="single" w:sz="4" w:space="0" w:color="auto"/>
              <w:right w:val="single" w:sz="12" w:space="0" w:color="auto"/>
            </w:tcBorders>
            <w:vAlign w:val="center"/>
          </w:tcPr>
          <w:p w14:paraId="718860D5" w14:textId="495B385E"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162_175</w:t>
            </w:r>
          </w:p>
        </w:tc>
      </w:tr>
      <w:tr w:rsidR="00651051" w:rsidRPr="002A0EE0" w14:paraId="0F41CBC5"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15EB6017" w14:textId="051DB333" w:rsidR="00651051" w:rsidRPr="002A0EE0" w:rsidRDefault="00651051" w:rsidP="002A0EE0">
            <w:pPr>
              <w:bidi/>
              <w:spacing w:line="276" w:lineRule="auto"/>
              <w:jc w:val="center"/>
              <w:rPr>
                <w:rFonts w:asciiTheme="majorBidi" w:hAnsiTheme="majorBidi" w:cstheme="majorBidi"/>
                <w:sz w:val="24"/>
                <w:szCs w:val="24"/>
                <w:lang w:bidi="ar-IQ"/>
              </w:rPr>
            </w:pPr>
            <w:r>
              <w:rPr>
                <w:rFonts w:asciiTheme="majorBidi" w:hAnsiTheme="majorBidi" w:cstheme="majorBidi"/>
                <w:sz w:val="24"/>
                <w:szCs w:val="24"/>
                <w:lang w:bidi="ar-IQ"/>
              </w:rPr>
              <w:t>11</w:t>
            </w:r>
          </w:p>
        </w:tc>
        <w:tc>
          <w:tcPr>
            <w:tcW w:w="7962" w:type="dxa"/>
            <w:tcBorders>
              <w:top w:val="single" w:sz="4" w:space="0" w:color="auto"/>
              <w:left w:val="single" w:sz="12" w:space="0" w:color="auto"/>
              <w:bottom w:val="single" w:sz="4" w:space="0" w:color="auto"/>
              <w:right w:val="single" w:sz="12" w:space="0" w:color="auto"/>
            </w:tcBorders>
            <w:vAlign w:val="center"/>
          </w:tcPr>
          <w:p w14:paraId="01D21EF0" w14:textId="77777777" w:rsidR="00651051" w:rsidRPr="002A0EE0" w:rsidRDefault="00651051" w:rsidP="002A0EE0">
            <w:pPr>
              <w:bidi/>
              <w:jc w:val="center"/>
              <w:rPr>
                <w:rFonts w:asciiTheme="majorBidi" w:hAnsiTheme="majorBidi" w:cstheme="majorBidi"/>
                <w:sz w:val="24"/>
                <w:szCs w:val="24"/>
                <w:rtl/>
              </w:rPr>
            </w:pPr>
            <w:r w:rsidRPr="002A0EE0">
              <w:rPr>
                <w:rFonts w:asciiTheme="majorBidi" w:hAnsiTheme="majorBidi" w:cstheme="majorBidi"/>
                <w:sz w:val="24"/>
                <w:szCs w:val="24"/>
              </w:rPr>
              <w:t>The Effect of Poetic Image Proliferation in the Diwan of Al-Khalidiyyayn</w:t>
            </w:r>
          </w:p>
          <w:p w14:paraId="74F982B9" w14:textId="77777777" w:rsidR="00651051" w:rsidRPr="002A0EE0" w:rsidRDefault="00651051" w:rsidP="002A0EE0">
            <w:pPr>
              <w:bidi/>
              <w:jc w:val="center"/>
              <w:rPr>
                <w:rFonts w:asciiTheme="majorBidi" w:hAnsiTheme="majorBidi" w:cstheme="majorBidi"/>
                <w:sz w:val="24"/>
                <w:szCs w:val="24"/>
                <w:rtl/>
              </w:rPr>
            </w:pPr>
            <w:r w:rsidRPr="002A0EE0">
              <w:rPr>
                <w:rFonts w:asciiTheme="majorBidi" w:hAnsiTheme="majorBidi" w:cstheme="majorBidi"/>
                <w:sz w:val="24"/>
                <w:szCs w:val="24"/>
              </w:rPr>
              <w:t>Mahmoud Mohammed Allawi Jawad Al-Rawi</w:t>
            </w:r>
          </w:p>
        </w:tc>
        <w:tc>
          <w:tcPr>
            <w:tcW w:w="1353" w:type="dxa"/>
            <w:tcBorders>
              <w:top w:val="single" w:sz="4" w:space="0" w:color="auto"/>
              <w:left w:val="single" w:sz="12" w:space="0" w:color="auto"/>
              <w:bottom w:val="single" w:sz="4" w:space="0" w:color="auto"/>
              <w:right w:val="single" w:sz="12" w:space="0" w:color="auto"/>
            </w:tcBorders>
            <w:vAlign w:val="center"/>
          </w:tcPr>
          <w:p w14:paraId="2318F37D" w14:textId="4B8E5733"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176_189</w:t>
            </w:r>
          </w:p>
        </w:tc>
      </w:tr>
      <w:tr w:rsidR="00651051" w:rsidRPr="002A0EE0" w14:paraId="16B25CD7"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6A32F15F" w14:textId="74052606"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12</w:t>
            </w:r>
          </w:p>
        </w:tc>
        <w:tc>
          <w:tcPr>
            <w:tcW w:w="7962" w:type="dxa"/>
            <w:tcBorders>
              <w:top w:val="single" w:sz="4" w:space="0" w:color="auto"/>
              <w:left w:val="single" w:sz="12" w:space="0" w:color="auto"/>
              <w:bottom w:val="single" w:sz="4" w:space="0" w:color="auto"/>
              <w:right w:val="single" w:sz="12" w:space="0" w:color="auto"/>
            </w:tcBorders>
          </w:tcPr>
          <w:p w14:paraId="3F62BB2E" w14:textId="77777777" w:rsidR="00651051" w:rsidRPr="002A0EE0" w:rsidRDefault="00651051" w:rsidP="002A0EE0">
            <w:pPr>
              <w:ind w:left="84"/>
              <w:contextualSpacing/>
              <w:jc w:val="center"/>
              <w:rPr>
                <w:rFonts w:asciiTheme="majorBidi" w:eastAsia="SimSun" w:hAnsiTheme="majorBidi" w:cstheme="majorBidi"/>
                <w:sz w:val="24"/>
                <w:szCs w:val="24"/>
                <w:lang w:eastAsia="zh-CN" w:bidi="ar-IQ"/>
              </w:rPr>
            </w:pPr>
            <w:r w:rsidRPr="002A0EE0">
              <w:rPr>
                <w:rFonts w:asciiTheme="majorBidi" w:eastAsia="SimSun" w:hAnsiTheme="majorBidi" w:cstheme="majorBidi"/>
                <w:sz w:val="24"/>
                <w:szCs w:val="24"/>
                <w:lang w:eastAsia="zh-CN" w:bidi="ar-IQ"/>
              </w:rPr>
              <w:t>The Normative Level in Dr. Majid Al-Zamali's Al-Mustadrak ʿalā Tadhkirat al-Kātib: An Analytical Study</w:t>
            </w:r>
          </w:p>
          <w:p w14:paraId="49B39C3E" w14:textId="77777777" w:rsidR="00651051" w:rsidRPr="002A0EE0" w:rsidRDefault="00651051" w:rsidP="002A0EE0">
            <w:pPr>
              <w:bidi/>
              <w:ind w:left="84"/>
              <w:contextualSpacing/>
              <w:jc w:val="center"/>
              <w:rPr>
                <w:rFonts w:asciiTheme="majorBidi" w:eastAsia="SimSun" w:hAnsiTheme="majorBidi" w:cstheme="majorBidi"/>
                <w:sz w:val="24"/>
                <w:szCs w:val="24"/>
                <w:rtl/>
                <w:lang w:eastAsia="zh-CN" w:bidi="ar-IQ"/>
              </w:rPr>
            </w:pPr>
            <w:r w:rsidRPr="002A0EE0">
              <w:rPr>
                <w:rFonts w:asciiTheme="majorBidi" w:eastAsia="SimSun" w:hAnsiTheme="majorBidi" w:cstheme="majorBidi"/>
                <w:sz w:val="24"/>
                <w:szCs w:val="24"/>
                <w:lang w:eastAsia="zh-CN" w:bidi="ar-IQ"/>
              </w:rPr>
              <w:t>Murtadha Hamdan Ajib</w:t>
            </w:r>
          </w:p>
        </w:tc>
        <w:tc>
          <w:tcPr>
            <w:tcW w:w="1353" w:type="dxa"/>
            <w:tcBorders>
              <w:top w:val="single" w:sz="4" w:space="0" w:color="auto"/>
              <w:left w:val="single" w:sz="12" w:space="0" w:color="auto"/>
              <w:bottom w:val="single" w:sz="4" w:space="0" w:color="auto"/>
              <w:right w:val="single" w:sz="12" w:space="0" w:color="auto"/>
            </w:tcBorders>
            <w:vAlign w:val="center"/>
          </w:tcPr>
          <w:p w14:paraId="0A7DC9C6" w14:textId="2EB40C55"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190_209</w:t>
            </w:r>
          </w:p>
        </w:tc>
      </w:tr>
      <w:tr w:rsidR="00651051" w:rsidRPr="002A0EE0" w14:paraId="7896E3E2"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53A06884" w14:textId="3F143D63"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13</w:t>
            </w:r>
          </w:p>
        </w:tc>
        <w:tc>
          <w:tcPr>
            <w:tcW w:w="7962" w:type="dxa"/>
            <w:tcBorders>
              <w:top w:val="single" w:sz="4" w:space="0" w:color="auto"/>
              <w:left w:val="single" w:sz="12" w:space="0" w:color="auto"/>
              <w:bottom w:val="single" w:sz="4" w:space="0" w:color="auto"/>
              <w:right w:val="single" w:sz="12" w:space="0" w:color="auto"/>
            </w:tcBorders>
          </w:tcPr>
          <w:p w14:paraId="38E5F1FE" w14:textId="77777777" w:rsidR="00651051" w:rsidRPr="002A0EE0" w:rsidRDefault="00651051" w:rsidP="00344AFA">
            <w:pPr>
              <w:pStyle w:val="a6"/>
              <w:jc w:val="center"/>
              <w:rPr>
                <w:rFonts w:asciiTheme="majorBidi" w:eastAsia="Calibri" w:hAnsiTheme="majorBidi" w:cstheme="majorBidi"/>
                <w:sz w:val="24"/>
                <w:szCs w:val="24"/>
                <w:rtl/>
                <w:lang w:bidi="ar-IQ"/>
              </w:rPr>
            </w:pPr>
            <w:r w:rsidRPr="002A0EE0">
              <w:rPr>
                <w:rFonts w:asciiTheme="majorBidi" w:eastAsia="Calibri" w:hAnsiTheme="majorBidi" w:cstheme="majorBidi"/>
                <w:sz w:val="24"/>
                <w:szCs w:val="24"/>
                <w:lang w:bidi="ar-IQ"/>
              </w:rPr>
              <w:t>The extent to which biology teachers possess TPACK skills and its relationship to their achievement motivation and future outlook</w:t>
            </w:r>
          </w:p>
          <w:p w14:paraId="4DDE5429" w14:textId="79C865FA" w:rsidR="00651051" w:rsidRPr="002A0EE0" w:rsidRDefault="00651051" w:rsidP="00344AFA">
            <w:pPr>
              <w:pStyle w:val="a6"/>
              <w:jc w:val="center"/>
              <w:rPr>
                <w:rFonts w:asciiTheme="majorBidi" w:eastAsia="Calibri" w:hAnsiTheme="majorBidi" w:cstheme="majorBidi"/>
                <w:sz w:val="24"/>
                <w:szCs w:val="24"/>
                <w:lang w:bidi="ar-IQ"/>
              </w:rPr>
            </w:pPr>
            <w:r w:rsidRPr="002A0EE0">
              <w:rPr>
                <w:rFonts w:asciiTheme="majorBidi" w:eastAsia="Calibri" w:hAnsiTheme="majorBidi" w:cstheme="majorBidi"/>
                <w:sz w:val="24"/>
                <w:szCs w:val="24"/>
                <w:lang w:bidi="ar-IQ"/>
              </w:rPr>
              <w:t>Jaafar Khammat Jelow, Safaa Kamel Jaber, Mayada Abdel Sattar Abbas</w:t>
            </w:r>
          </w:p>
          <w:p w14:paraId="7AB6CD26" w14:textId="182C6520" w:rsidR="00651051" w:rsidRPr="002A0EE0" w:rsidRDefault="00651051" w:rsidP="002A0EE0">
            <w:pPr>
              <w:contextualSpacing/>
              <w:jc w:val="center"/>
              <w:rPr>
                <w:rFonts w:asciiTheme="majorBidi" w:hAnsiTheme="majorBidi" w:cstheme="majorBidi"/>
                <w:sz w:val="24"/>
                <w:szCs w:val="24"/>
                <w:rtl/>
                <w:lang w:bidi="ar-IQ"/>
              </w:rPr>
            </w:pPr>
          </w:p>
        </w:tc>
        <w:tc>
          <w:tcPr>
            <w:tcW w:w="1353" w:type="dxa"/>
            <w:tcBorders>
              <w:top w:val="single" w:sz="4" w:space="0" w:color="auto"/>
              <w:left w:val="single" w:sz="12" w:space="0" w:color="auto"/>
              <w:bottom w:val="single" w:sz="4" w:space="0" w:color="auto"/>
              <w:right w:val="single" w:sz="12" w:space="0" w:color="auto"/>
            </w:tcBorders>
            <w:vAlign w:val="center"/>
          </w:tcPr>
          <w:p w14:paraId="51E92756" w14:textId="4C49D353"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210_229</w:t>
            </w:r>
          </w:p>
        </w:tc>
      </w:tr>
      <w:tr w:rsidR="00651051" w:rsidRPr="002A0EE0" w14:paraId="17003A18"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4FB1468B" w14:textId="07E26DE3"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14</w:t>
            </w:r>
          </w:p>
        </w:tc>
        <w:tc>
          <w:tcPr>
            <w:tcW w:w="7962" w:type="dxa"/>
            <w:tcBorders>
              <w:top w:val="single" w:sz="4" w:space="0" w:color="auto"/>
              <w:left w:val="single" w:sz="12" w:space="0" w:color="auto"/>
              <w:bottom w:val="single" w:sz="4" w:space="0" w:color="auto"/>
              <w:right w:val="single" w:sz="12" w:space="0" w:color="auto"/>
            </w:tcBorders>
          </w:tcPr>
          <w:p w14:paraId="5EEC1CA2" w14:textId="77777777" w:rsidR="00651051" w:rsidRPr="002A0EE0" w:rsidRDefault="00651051" w:rsidP="002A0EE0">
            <w:pPr>
              <w:jc w:val="center"/>
              <w:rPr>
                <w:rFonts w:asciiTheme="majorBidi" w:hAnsiTheme="majorBidi" w:cstheme="majorBidi"/>
                <w:sz w:val="24"/>
                <w:szCs w:val="24"/>
              </w:rPr>
            </w:pPr>
            <w:r w:rsidRPr="002A0EE0">
              <w:rPr>
                <w:rFonts w:asciiTheme="majorBidi" w:hAnsiTheme="majorBidi" w:cstheme="majorBidi"/>
                <w:sz w:val="24"/>
                <w:szCs w:val="24"/>
              </w:rPr>
              <w:t>Spatial and Temporal Variability of Groundwater Aquifer Properties in Eastern Maysan Governorate, Southern Iraq.</w:t>
            </w:r>
          </w:p>
          <w:p w14:paraId="23136066" w14:textId="77777777" w:rsidR="00651051" w:rsidRPr="002A0EE0" w:rsidRDefault="00651051" w:rsidP="002A0EE0">
            <w:pPr>
              <w:pStyle w:val="a6"/>
              <w:spacing w:line="276" w:lineRule="auto"/>
              <w:jc w:val="center"/>
              <w:rPr>
                <w:rFonts w:asciiTheme="majorBidi" w:hAnsiTheme="majorBidi" w:cstheme="majorBidi"/>
                <w:sz w:val="24"/>
                <w:szCs w:val="24"/>
                <w:rtl/>
                <w:lang w:bidi="ar-IQ"/>
              </w:rPr>
            </w:pPr>
            <w:r w:rsidRPr="002A0EE0">
              <w:rPr>
                <w:rFonts w:asciiTheme="majorBidi" w:hAnsiTheme="majorBidi" w:cstheme="majorBidi"/>
                <w:sz w:val="24"/>
                <w:szCs w:val="24"/>
              </w:rPr>
              <w:t>Ahmed M. Hashoosh</w:t>
            </w:r>
            <w:r w:rsidRPr="002A0EE0">
              <w:rPr>
                <w:rFonts w:asciiTheme="majorBidi" w:hAnsiTheme="majorBidi" w:cstheme="majorBidi"/>
                <w:sz w:val="24"/>
                <w:szCs w:val="24"/>
                <w:vertAlign w:val="superscript"/>
              </w:rPr>
              <w:t xml:space="preserve"> </w:t>
            </w:r>
            <w:r w:rsidRPr="002A0EE0">
              <w:rPr>
                <w:rFonts w:asciiTheme="majorBidi" w:hAnsiTheme="majorBidi" w:cstheme="majorBidi"/>
                <w:sz w:val="24"/>
                <w:szCs w:val="24"/>
              </w:rPr>
              <w:t>, Alaa M. Al-Abadi</w:t>
            </w:r>
          </w:p>
        </w:tc>
        <w:tc>
          <w:tcPr>
            <w:tcW w:w="1353" w:type="dxa"/>
            <w:tcBorders>
              <w:top w:val="single" w:sz="4" w:space="0" w:color="auto"/>
              <w:left w:val="single" w:sz="12" w:space="0" w:color="auto"/>
              <w:bottom w:val="single" w:sz="4" w:space="0" w:color="auto"/>
              <w:right w:val="single" w:sz="12" w:space="0" w:color="auto"/>
            </w:tcBorders>
            <w:vAlign w:val="center"/>
          </w:tcPr>
          <w:p w14:paraId="3965F1F6" w14:textId="473CE4B4"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230_248</w:t>
            </w:r>
          </w:p>
        </w:tc>
      </w:tr>
      <w:tr w:rsidR="00651051" w:rsidRPr="002A0EE0" w14:paraId="5A5791A2"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7EC16862" w14:textId="53600F3D" w:rsidR="00651051" w:rsidRPr="002A0EE0" w:rsidRDefault="00651051" w:rsidP="002A0EE0">
            <w:pPr>
              <w:bidi/>
              <w:spacing w:line="276" w:lineRule="auto"/>
              <w:jc w:val="center"/>
              <w:rPr>
                <w:rFonts w:asciiTheme="majorBidi" w:hAnsiTheme="majorBidi" w:cstheme="majorBidi"/>
                <w:sz w:val="24"/>
                <w:szCs w:val="24"/>
                <w:lang w:bidi="ar-IQ"/>
              </w:rPr>
            </w:pPr>
            <w:r>
              <w:rPr>
                <w:rFonts w:asciiTheme="majorBidi" w:hAnsiTheme="majorBidi" w:cstheme="majorBidi"/>
                <w:sz w:val="24"/>
                <w:szCs w:val="24"/>
                <w:lang w:bidi="ar-IQ"/>
              </w:rPr>
              <w:lastRenderedPageBreak/>
              <w:t>15</w:t>
            </w:r>
          </w:p>
        </w:tc>
        <w:tc>
          <w:tcPr>
            <w:tcW w:w="7962" w:type="dxa"/>
            <w:tcBorders>
              <w:top w:val="single" w:sz="4" w:space="0" w:color="auto"/>
              <w:left w:val="single" w:sz="12" w:space="0" w:color="auto"/>
              <w:bottom w:val="single" w:sz="4" w:space="0" w:color="auto"/>
              <w:right w:val="single" w:sz="12" w:space="0" w:color="auto"/>
            </w:tcBorders>
          </w:tcPr>
          <w:p w14:paraId="5CCE643F" w14:textId="77777777" w:rsidR="00651051" w:rsidRPr="002A0EE0" w:rsidRDefault="00651051" w:rsidP="002A0EE0">
            <w:pPr>
              <w:jc w:val="center"/>
              <w:rPr>
                <w:rFonts w:asciiTheme="majorBidi" w:hAnsiTheme="majorBidi" w:cstheme="majorBidi"/>
                <w:sz w:val="24"/>
                <w:szCs w:val="24"/>
              </w:rPr>
            </w:pPr>
            <w:bookmarkStart w:id="2" w:name="_Hlk229655339"/>
            <w:r w:rsidRPr="002A0EE0">
              <w:rPr>
                <w:rFonts w:asciiTheme="majorBidi" w:hAnsiTheme="majorBidi" w:cstheme="majorBidi"/>
                <w:sz w:val="24"/>
                <w:szCs w:val="24"/>
              </w:rPr>
              <w:t>Influence of Boswellic Acid on Enamel Microhardness in Initial Caries Lesions: An in Vitro Study</w:t>
            </w:r>
            <w:bookmarkEnd w:id="2"/>
          </w:p>
          <w:p w14:paraId="74E8AD69" w14:textId="77777777" w:rsidR="00651051" w:rsidRPr="002A0EE0" w:rsidRDefault="00651051" w:rsidP="002A0EE0">
            <w:pPr>
              <w:jc w:val="center"/>
              <w:rPr>
                <w:rFonts w:asciiTheme="majorBidi" w:hAnsiTheme="majorBidi" w:cstheme="majorBidi"/>
                <w:sz w:val="24"/>
                <w:szCs w:val="24"/>
                <w:rtl/>
              </w:rPr>
            </w:pPr>
            <w:r w:rsidRPr="002A0EE0">
              <w:rPr>
                <w:rFonts w:asciiTheme="majorBidi" w:hAnsiTheme="majorBidi" w:cstheme="majorBidi"/>
                <w:sz w:val="24"/>
                <w:szCs w:val="24"/>
              </w:rPr>
              <w:t xml:space="preserve">Roa'a Jamal Abdulameer , Nada Jafer Mohammed Hassan Radhi </w:t>
            </w:r>
          </w:p>
        </w:tc>
        <w:tc>
          <w:tcPr>
            <w:tcW w:w="1353" w:type="dxa"/>
            <w:tcBorders>
              <w:top w:val="single" w:sz="4" w:space="0" w:color="auto"/>
              <w:left w:val="single" w:sz="12" w:space="0" w:color="auto"/>
              <w:bottom w:val="single" w:sz="4" w:space="0" w:color="auto"/>
              <w:right w:val="single" w:sz="12" w:space="0" w:color="auto"/>
            </w:tcBorders>
            <w:vAlign w:val="center"/>
          </w:tcPr>
          <w:p w14:paraId="1D517DE6" w14:textId="061EA729"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249_260</w:t>
            </w:r>
          </w:p>
        </w:tc>
      </w:tr>
      <w:tr w:rsidR="00651051" w:rsidRPr="002A0EE0" w14:paraId="0F83484A"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6C7ACCB7" w14:textId="4773A7B9"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16</w:t>
            </w:r>
          </w:p>
        </w:tc>
        <w:tc>
          <w:tcPr>
            <w:tcW w:w="7962" w:type="dxa"/>
            <w:tcBorders>
              <w:top w:val="single" w:sz="4" w:space="0" w:color="auto"/>
              <w:left w:val="single" w:sz="12" w:space="0" w:color="auto"/>
              <w:bottom w:val="single" w:sz="4" w:space="0" w:color="auto"/>
              <w:right w:val="single" w:sz="12" w:space="0" w:color="auto"/>
            </w:tcBorders>
          </w:tcPr>
          <w:p w14:paraId="3E0C72A8" w14:textId="77777777" w:rsidR="00651051" w:rsidRPr="002A0EE0" w:rsidRDefault="00651051" w:rsidP="002A0EE0">
            <w:pPr>
              <w:jc w:val="center"/>
              <w:rPr>
                <w:rFonts w:asciiTheme="majorBidi" w:hAnsiTheme="majorBidi" w:cstheme="majorBidi"/>
                <w:sz w:val="24"/>
                <w:szCs w:val="24"/>
              </w:rPr>
            </w:pPr>
            <w:r w:rsidRPr="002A0EE0">
              <w:rPr>
                <w:rFonts w:asciiTheme="majorBidi" w:hAnsiTheme="majorBidi" w:cstheme="majorBidi"/>
                <w:sz w:val="24"/>
                <w:szCs w:val="24"/>
              </w:rPr>
              <w:t xml:space="preserve">A Comparative Analysis of Sedentary Behavior and Dietary Behavior </w:t>
            </w:r>
          </w:p>
          <w:p w14:paraId="7E975957" w14:textId="77777777" w:rsidR="00651051" w:rsidRPr="002A0EE0" w:rsidRDefault="00651051" w:rsidP="002A0EE0">
            <w:pPr>
              <w:jc w:val="center"/>
              <w:rPr>
                <w:rFonts w:asciiTheme="majorBidi" w:hAnsiTheme="majorBidi" w:cstheme="majorBidi"/>
                <w:sz w:val="24"/>
                <w:szCs w:val="24"/>
                <w:rtl/>
              </w:rPr>
            </w:pPr>
            <w:r w:rsidRPr="002A0EE0">
              <w:rPr>
                <w:rFonts w:asciiTheme="majorBidi" w:hAnsiTheme="majorBidi" w:cstheme="majorBidi"/>
                <w:sz w:val="24"/>
                <w:szCs w:val="24"/>
              </w:rPr>
              <w:t xml:space="preserve"> in Relation to Dental Caries Among Resistance Trained Men</w:t>
            </w:r>
          </w:p>
          <w:p w14:paraId="0F4B554C" w14:textId="77777777" w:rsidR="00651051" w:rsidRPr="002A0EE0" w:rsidRDefault="00651051" w:rsidP="002A0EE0">
            <w:pPr>
              <w:jc w:val="center"/>
              <w:rPr>
                <w:rFonts w:asciiTheme="majorBidi" w:hAnsiTheme="majorBidi" w:cstheme="majorBidi"/>
                <w:sz w:val="24"/>
                <w:szCs w:val="24"/>
                <w:rtl/>
              </w:rPr>
            </w:pPr>
            <w:r w:rsidRPr="002A0EE0">
              <w:rPr>
                <w:rFonts w:asciiTheme="majorBidi" w:hAnsiTheme="majorBidi" w:cstheme="majorBidi"/>
                <w:sz w:val="24"/>
                <w:szCs w:val="24"/>
              </w:rPr>
              <w:t>Sarah Bassil Abdulwhid</w:t>
            </w:r>
            <w:r w:rsidRPr="002A0EE0">
              <w:rPr>
                <w:rFonts w:asciiTheme="majorBidi" w:hAnsiTheme="majorBidi" w:cstheme="majorBidi"/>
                <w:sz w:val="24"/>
                <w:szCs w:val="24"/>
                <w:vertAlign w:val="superscript"/>
              </w:rPr>
              <w:t xml:space="preserve"> </w:t>
            </w:r>
            <w:r w:rsidRPr="002A0EE0">
              <w:rPr>
                <w:rFonts w:asciiTheme="majorBidi" w:hAnsiTheme="majorBidi" w:cstheme="majorBidi"/>
                <w:sz w:val="24"/>
                <w:szCs w:val="24"/>
              </w:rPr>
              <w:t>, Alhan Ahmed Qasim</w:t>
            </w:r>
          </w:p>
        </w:tc>
        <w:tc>
          <w:tcPr>
            <w:tcW w:w="1353" w:type="dxa"/>
            <w:tcBorders>
              <w:top w:val="single" w:sz="4" w:space="0" w:color="auto"/>
              <w:left w:val="single" w:sz="12" w:space="0" w:color="auto"/>
              <w:bottom w:val="single" w:sz="4" w:space="0" w:color="auto"/>
              <w:right w:val="single" w:sz="12" w:space="0" w:color="auto"/>
            </w:tcBorders>
            <w:vAlign w:val="center"/>
          </w:tcPr>
          <w:p w14:paraId="5813ED4B" w14:textId="60FF743C"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261_278</w:t>
            </w:r>
          </w:p>
        </w:tc>
      </w:tr>
      <w:tr w:rsidR="00651051" w:rsidRPr="002A0EE0" w14:paraId="2F1A0C4E"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3A7903E4" w14:textId="16A28269"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17</w:t>
            </w:r>
          </w:p>
        </w:tc>
        <w:tc>
          <w:tcPr>
            <w:tcW w:w="7962" w:type="dxa"/>
            <w:tcBorders>
              <w:top w:val="single" w:sz="4" w:space="0" w:color="auto"/>
              <w:left w:val="single" w:sz="12" w:space="0" w:color="auto"/>
              <w:bottom w:val="single" w:sz="4" w:space="0" w:color="auto"/>
              <w:right w:val="single" w:sz="12" w:space="0" w:color="auto"/>
            </w:tcBorders>
          </w:tcPr>
          <w:p w14:paraId="4F9726D5" w14:textId="77777777" w:rsidR="00651051" w:rsidRPr="002A0EE0" w:rsidRDefault="00651051" w:rsidP="002A0EE0">
            <w:pPr>
              <w:jc w:val="center"/>
              <w:rPr>
                <w:rFonts w:asciiTheme="majorBidi" w:hAnsiTheme="majorBidi" w:cstheme="majorBidi"/>
                <w:sz w:val="24"/>
                <w:szCs w:val="24"/>
              </w:rPr>
            </w:pPr>
            <w:r w:rsidRPr="002A0EE0">
              <w:rPr>
                <w:rFonts w:asciiTheme="majorBidi" w:hAnsiTheme="majorBidi" w:cstheme="majorBidi"/>
                <w:sz w:val="24"/>
                <w:szCs w:val="24"/>
              </w:rPr>
              <w:t>Semantic Challenges in Translating Road Signs</w:t>
            </w:r>
          </w:p>
          <w:p w14:paraId="74B98D85" w14:textId="77777777" w:rsidR="00651051" w:rsidRPr="002A0EE0" w:rsidRDefault="00651051" w:rsidP="002A0EE0">
            <w:pPr>
              <w:jc w:val="center"/>
              <w:rPr>
                <w:rFonts w:asciiTheme="majorBidi" w:hAnsiTheme="majorBidi" w:cstheme="majorBidi"/>
                <w:sz w:val="24"/>
                <w:szCs w:val="24"/>
                <w:rtl/>
              </w:rPr>
            </w:pPr>
            <w:r w:rsidRPr="002A0EE0">
              <w:rPr>
                <w:rFonts w:asciiTheme="majorBidi" w:hAnsiTheme="majorBidi" w:cstheme="majorBidi"/>
                <w:sz w:val="24"/>
                <w:szCs w:val="24"/>
              </w:rPr>
              <w:t>Falah Hussein Hanoon Al-Sari</w:t>
            </w:r>
          </w:p>
        </w:tc>
        <w:tc>
          <w:tcPr>
            <w:tcW w:w="1353" w:type="dxa"/>
            <w:tcBorders>
              <w:top w:val="single" w:sz="4" w:space="0" w:color="auto"/>
              <w:left w:val="single" w:sz="12" w:space="0" w:color="auto"/>
              <w:bottom w:val="single" w:sz="4" w:space="0" w:color="auto"/>
              <w:right w:val="single" w:sz="12" w:space="0" w:color="auto"/>
            </w:tcBorders>
            <w:vAlign w:val="center"/>
          </w:tcPr>
          <w:p w14:paraId="0D7726D9" w14:textId="431AFF4F"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279_284</w:t>
            </w:r>
          </w:p>
        </w:tc>
      </w:tr>
      <w:tr w:rsidR="00651051" w:rsidRPr="002A0EE0" w14:paraId="0DBCB8A9"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1556CC07" w14:textId="6ADB468D"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18</w:t>
            </w:r>
          </w:p>
        </w:tc>
        <w:tc>
          <w:tcPr>
            <w:tcW w:w="7962" w:type="dxa"/>
            <w:tcBorders>
              <w:top w:val="single" w:sz="4" w:space="0" w:color="auto"/>
              <w:left w:val="single" w:sz="12" w:space="0" w:color="auto"/>
              <w:bottom w:val="single" w:sz="4" w:space="0" w:color="auto"/>
              <w:right w:val="single" w:sz="12" w:space="0" w:color="auto"/>
            </w:tcBorders>
          </w:tcPr>
          <w:p w14:paraId="3DDDEB28" w14:textId="77777777" w:rsidR="00651051" w:rsidRPr="002A0EE0" w:rsidRDefault="00651051" w:rsidP="002A0EE0">
            <w:pPr>
              <w:jc w:val="center"/>
              <w:rPr>
                <w:rFonts w:asciiTheme="majorBidi" w:eastAsia="SimSun" w:hAnsiTheme="majorBidi" w:cstheme="majorBidi"/>
                <w:sz w:val="24"/>
                <w:szCs w:val="24"/>
                <w:lang w:bidi="ar-IQ"/>
              </w:rPr>
            </w:pPr>
            <w:r w:rsidRPr="002A0EE0">
              <w:rPr>
                <w:rFonts w:asciiTheme="majorBidi" w:eastAsia="SimSun" w:hAnsiTheme="majorBidi" w:cstheme="majorBidi"/>
                <w:sz w:val="24"/>
                <w:szCs w:val="24"/>
                <w:lang w:bidi="ar-IQ"/>
              </w:rPr>
              <w:t>Macroeconomic Indicators: Iraq and the Dynamics of Oil and Conflict in the Arabian Gulf the Impact of Regional Wars (1950–2000)</w:t>
            </w:r>
          </w:p>
          <w:p w14:paraId="0593235E" w14:textId="77777777" w:rsidR="00651051" w:rsidRPr="002A0EE0" w:rsidRDefault="00651051" w:rsidP="002A0EE0">
            <w:pPr>
              <w:jc w:val="center"/>
              <w:rPr>
                <w:rFonts w:asciiTheme="majorBidi" w:eastAsia="SimSun" w:hAnsiTheme="majorBidi" w:cstheme="majorBidi"/>
                <w:sz w:val="24"/>
                <w:szCs w:val="24"/>
                <w:rtl/>
                <w:lang w:bidi="ar-IQ"/>
              </w:rPr>
            </w:pPr>
            <w:r w:rsidRPr="002A0EE0">
              <w:rPr>
                <w:rFonts w:asciiTheme="majorBidi" w:eastAsia="SimSun" w:hAnsiTheme="majorBidi" w:cstheme="majorBidi"/>
                <w:sz w:val="24"/>
                <w:szCs w:val="24"/>
                <w:lang w:bidi="ar-IQ"/>
              </w:rPr>
              <w:t>Dhifaf Mahdi Hasson</w:t>
            </w:r>
          </w:p>
        </w:tc>
        <w:tc>
          <w:tcPr>
            <w:tcW w:w="1353" w:type="dxa"/>
            <w:tcBorders>
              <w:top w:val="single" w:sz="4" w:space="0" w:color="auto"/>
              <w:left w:val="single" w:sz="12" w:space="0" w:color="auto"/>
              <w:bottom w:val="single" w:sz="4" w:space="0" w:color="auto"/>
              <w:right w:val="single" w:sz="12" w:space="0" w:color="auto"/>
            </w:tcBorders>
            <w:vAlign w:val="center"/>
          </w:tcPr>
          <w:p w14:paraId="78C08BB6" w14:textId="7DC1478C" w:rsidR="00651051" w:rsidRPr="002A0EE0" w:rsidRDefault="00651051" w:rsidP="002A0EE0">
            <w:pPr>
              <w:bidi/>
              <w:spacing w:line="276" w:lineRule="auto"/>
              <w:jc w:val="center"/>
              <w:rPr>
                <w:rFonts w:asciiTheme="majorBidi" w:hAnsiTheme="majorBidi" w:cstheme="majorBidi"/>
                <w:sz w:val="24"/>
                <w:szCs w:val="24"/>
              </w:rPr>
            </w:pPr>
            <w:r>
              <w:rPr>
                <w:rFonts w:asciiTheme="majorBidi" w:hAnsiTheme="majorBidi" w:cstheme="majorBidi"/>
                <w:sz w:val="24"/>
                <w:szCs w:val="24"/>
              </w:rPr>
              <w:t>285_299</w:t>
            </w:r>
          </w:p>
        </w:tc>
      </w:tr>
      <w:tr w:rsidR="00651051" w:rsidRPr="002A0EE0" w14:paraId="67827478"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1C04E278" w14:textId="497DE228"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19</w:t>
            </w:r>
          </w:p>
        </w:tc>
        <w:tc>
          <w:tcPr>
            <w:tcW w:w="7962" w:type="dxa"/>
            <w:tcBorders>
              <w:top w:val="single" w:sz="4" w:space="0" w:color="auto"/>
              <w:left w:val="single" w:sz="12" w:space="0" w:color="auto"/>
              <w:bottom w:val="single" w:sz="4" w:space="0" w:color="auto"/>
              <w:right w:val="single" w:sz="12" w:space="0" w:color="auto"/>
            </w:tcBorders>
          </w:tcPr>
          <w:p w14:paraId="0270DC7B" w14:textId="77777777" w:rsidR="00651051" w:rsidRPr="002A0EE0" w:rsidRDefault="00651051" w:rsidP="002A0EE0">
            <w:pPr>
              <w:pStyle w:val="a6"/>
              <w:jc w:val="center"/>
              <w:rPr>
                <w:rFonts w:asciiTheme="majorBidi" w:hAnsiTheme="majorBidi" w:cstheme="majorBidi"/>
                <w:sz w:val="24"/>
                <w:szCs w:val="24"/>
              </w:rPr>
            </w:pPr>
            <w:r w:rsidRPr="002A0EE0">
              <w:rPr>
                <w:rFonts w:asciiTheme="majorBidi" w:hAnsiTheme="majorBidi" w:cstheme="majorBidi"/>
                <w:sz w:val="24"/>
                <w:szCs w:val="24"/>
              </w:rPr>
              <w:t>Characterization and Classification of Soils in Al-Muwafaqiyah and Al-Dujaili Areas</w:t>
            </w:r>
            <w:r w:rsidRPr="002A0EE0">
              <w:rPr>
                <w:rFonts w:asciiTheme="majorBidi" w:hAnsiTheme="majorBidi" w:cstheme="majorBidi"/>
                <w:sz w:val="24"/>
                <w:szCs w:val="24"/>
              </w:rPr>
              <w:br/>
              <w:t>within Al-Kut District, Wasit Governorate, and Evaluation of Their Agricultural Suitability</w:t>
            </w:r>
          </w:p>
          <w:p w14:paraId="3EC707B7" w14:textId="77777777" w:rsidR="00651051" w:rsidRPr="002A0EE0" w:rsidRDefault="00651051" w:rsidP="002A0EE0">
            <w:pPr>
              <w:pStyle w:val="a6"/>
              <w:jc w:val="center"/>
              <w:rPr>
                <w:rFonts w:asciiTheme="majorBidi" w:hAnsiTheme="majorBidi" w:cstheme="majorBidi"/>
                <w:sz w:val="24"/>
                <w:szCs w:val="24"/>
                <w:rtl/>
                <w:lang w:bidi="ar-IQ"/>
              </w:rPr>
            </w:pPr>
            <w:r w:rsidRPr="002A0EE0">
              <w:rPr>
                <w:rFonts w:asciiTheme="majorBidi" w:hAnsiTheme="majorBidi" w:cstheme="majorBidi"/>
                <w:sz w:val="24"/>
                <w:szCs w:val="24"/>
              </w:rPr>
              <w:t>Hasanain Mohammed Mahmood Alabooda</w:t>
            </w:r>
          </w:p>
        </w:tc>
        <w:tc>
          <w:tcPr>
            <w:tcW w:w="1353" w:type="dxa"/>
            <w:tcBorders>
              <w:top w:val="single" w:sz="4" w:space="0" w:color="auto"/>
              <w:left w:val="single" w:sz="12" w:space="0" w:color="auto"/>
              <w:bottom w:val="single" w:sz="4" w:space="0" w:color="auto"/>
              <w:right w:val="single" w:sz="12" w:space="0" w:color="auto"/>
            </w:tcBorders>
            <w:vAlign w:val="center"/>
          </w:tcPr>
          <w:p w14:paraId="747FD7B0" w14:textId="7AE2BB7E" w:rsidR="00651051" w:rsidRPr="002A0EE0" w:rsidRDefault="00651051" w:rsidP="002A0EE0">
            <w:pPr>
              <w:bidi/>
              <w:spacing w:line="276" w:lineRule="auto"/>
              <w:jc w:val="center"/>
              <w:rPr>
                <w:rFonts w:asciiTheme="majorBidi" w:hAnsiTheme="majorBidi" w:cstheme="majorBidi"/>
                <w:sz w:val="24"/>
                <w:szCs w:val="24"/>
                <w:rtl/>
              </w:rPr>
            </w:pPr>
            <w:r>
              <w:rPr>
                <w:rFonts w:asciiTheme="majorBidi" w:hAnsiTheme="majorBidi" w:cstheme="majorBidi"/>
                <w:sz w:val="24"/>
                <w:szCs w:val="24"/>
              </w:rPr>
              <w:t>300_320</w:t>
            </w:r>
          </w:p>
        </w:tc>
      </w:tr>
      <w:tr w:rsidR="00651051" w:rsidRPr="002A0EE0" w14:paraId="3BC2D166"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hideMark/>
          </w:tcPr>
          <w:p w14:paraId="12BB116A" w14:textId="01DE93B8"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20</w:t>
            </w:r>
          </w:p>
        </w:tc>
        <w:tc>
          <w:tcPr>
            <w:tcW w:w="7962" w:type="dxa"/>
            <w:tcBorders>
              <w:top w:val="single" w:sz="4" w:space="0" w:color="auto"/>
              <w:left w:val="single" w:sz="12" w:space="0" w:color="auto"/>
              <w:bottom w:val="single" w:sz="4" w:space="0" w:color="auto"/>
              <w:right w:val="single" w:sz="12" w:space="0" w:color="auto"/>
            </w:tcBorders>
          </w:tcPr>
          <w:p w14:paraId="2D97BF9D" w14:textId="77777777" w:rsidR="00651051" w:rsidRPr="002A0EE0" w:rsidRDefault="00651051" w:rsidP="002A0EE0">
            <w:pPr>
              <w:jc w:val="center"/>
              <w:rPr>
                <w:rFonts w:asciiTheme="majorBidi" w:eastAsia="Aptos" w:hAnsiTheme="majorBidi" w:cstheme="majorBidi"/>
                <w:kern w:val="2"/>
                <w:sz w:val="24"/>
                <w:szCs w:val="24"/>
                <w14:ligatures w14:val="standardContextual"/>
              </w:rPr>
            </w:pPr>
            <w:r w:rsidRPr="002A0EE0">
              <w:rPr>
                <w:rFonts w:asciiTheme="majorBidi" w:eastAsia="Aptos" w:hAnsiTheme="majorBidi" w:cstheme="majorBidi"/>
                <w:kern w:val="2"/>
                <w:sz w:val="24"/>
                <w:szCs w:val="24"/>
                <w14:ligatures w14:val="standardContextual"/>
              </w:rPr>
              <w:t>Deciphering the Unfamiliar: Generational Conflict and Cultural Transformation in the Novels of Jhumpa Lahiri</w:t>
            </w:r>
          </w:p>
          <w:p w14:paraId="319EB50A" w14:textId="77777777" w:rsidR="00651051" w:rsidRPr="002A0EE0" w:rsidRDefault="00651051" w:rsidP="002A0EE0">
            <w:pPr>
              <w:jc w:val="center"/>
              <w:rPr>
                <w:rFonts w:asciiTheme="majorBidi" w:eastAsia="Aptos" w:hAnsiTheme="majorBidi" w:cstheme="majorBidi"/>
                <w:kern w:val="2"/>
                <w:sz w:val="24"/>
                <w:szCs w:val="24"/>
                <w:rtl/>
                <w14:ligatures w14:val="standardContextual"/>
              </w:rPr>
            </w:pPr>
            <w:r w:rsidRPr="002A0EE0">
              <w:rPr>
                <w:rFonts w:asciiTheme="majorBidi" w:eastAsia="Aptos" w:hAnsiTheme="majorBidi" w:cstheme="majorBidi"/>
                <w:kern w:val="2"/>
                <w:sz w:val="24"/>
                <w:szCs w:val="24"/>
                <w14:ligatures w14:val="standardContextual"/>
              </w:rPr>
              <w:t>Hussein Mnahi Munshid</w:t>
            </w:r>
          </w:p>
        </w:tc>
        <w:tc>
          <w:tcPr>
            <w:tcW w:w="1353" w:type="dxa"/>
            <w:tcBorders>
              <w:top w:val="single" w:sz="4" w:space="0" w:color="auto"/>
              <w:left w:val="single" w:sz="12" w:space="0" w:color="auto"/>
              <w:bottom w:val="single" w:sz="4" w:space="0" w:color="auto"/>
              <w:right w:val="single" w:sz="12" w:space="0" w:color="auto"/>
            </w:tcBorders>
            <w:vAlign w:val="center"/>
          </w:tcPr>
          <w:p w14:paraId="309413A8" w14:textId="673FD7DE" w:rsidR="00651051" w:rsidRPr="002A0EE0" w:rsidRDefault="00651051" w:rsidP="002A0EE0">
            <w:pPr>
              <w:bidi/>
              <w:spacing w:line="276" w:lineRule="auto"/>
              <w:jc w:val="center"/>
              <w:rPr>
                <w:rFonts w:asciiTheme="majorBidi" w:hAnsiTheme="majorBidi" w:cstheme="majorBidi"/>
                <w:sz w:val="24"/>
                <w:szCs w:val="24"/>
                <w:rtl/>
                <w:lang w:bidi="ar-IQ"/>
              </w:rPr>
            </w:pPr>
            <w:r>
              <w:rPr>
                <w:rFonts w:asciiTheme="majorBidi" w:hAnsiTheme="majorBidi" w:cstheme="majorBidi"/>
                <w:sz w:val="24"/>
                <w:szCs w:val="24"/>
                <w:lang w:bidi="ar-IQ"/>
              </w:rPr>
              <w:t>321_332</w:t>
            </w:r>
          </w:p>
        </w:tc>
      </w:tr>
      <w:tr w:rsidR="00651051" w:rsidRPr="002A0EE0" w14:paraId="2C48A002"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tcPr>
          <w:p w14:paraId="3BE806D4" w14:textId="68A688A3" w:rsidR="00651051" w:rsidRPr="002A0EE0" w:rsidRDefault="00651051" w:rsidP="002A0EE0">
            <w:pPr>
              <w:bidi/>
              <w:jc w:val="center"/>
              <w:rPr>
                <w:rFonts w:asciiTheme="majorBidi" w:hAnsiTheme="majorBidi" w:cstheme="majorBidi"/>
                <w:sz w:val="24"/>
                <w:szCs w:val="24"/>
                <w:rtl/>
                <w:lang w:bidi="ar-IQ"/>
              </w:rPr>
            </w:pPr>
            <w:r>
              <w:rPr>
                <w:rFonts w:asciiTheme="majorBidi" w:hAnsiTheme="majorBidi" w:cstheme="majorBidi"/>
                <w:sz w:val="24"/>
                <w:szCs w:val="24"/>
                <w:lang w:bidi="ar-IQ"/>
              </w:rPr>
              <w:t>21</w:t>
            </w:r>
          </w:p>
        </w:tc>
        <w:tc>
          <w:tcPr>
            <w:tcW w:w="7962" w:type="dxa"/>
            <w:tcBorders>
              <w:top w:val="single" w:sz="4" w:space="0" w:color="auto"/>
              <w:left w:val="single" w:sz="12" w:space="0" w:color="auto"/>
              <w:bottom w:val="single" w:sz="4" w:space="0" w:color="auto"/>
              <w:right w:val="single" w:sz="12" w:space="0" w:color="auto"/>
            </w:tcBorders>
          </w:tcPr>
          <w:p w14:paraId="4F5AC583" w14:textId="77777777" w:rsidR="00651051" w:rsidRPr="002A0EE0" w:rsidRDefault="00651051" w:rsidP="002A0EE0">
            <w:pPr>
              <w:tabs>
                <w:tab w:val="center" w:pos="4513"/>
                <w:tab w:val="left" w:pos="7535"/>
              </w:tabs>
              <w:adjustRightInd w:val="0"/>
              <w:snapToGrid w:val="0"/>
              <w:jc w:val="center"/>
              <w:rPr>
                <w:rFonts w:asciiTheme="majorBidi" w:hAnsiTheme="majorBidi" w:cstheme="majorBidi"/>
                <w:sz w:val="24"/>
                <w:szCs w:val="24"/>
                <w:lang w:val="en-GB"/>
              </w:rPr>
            </w:pPr>
            <w:r w:rsidRPr="002A0EE0">
              <w:rPr>
                <w:rFonts w:asciiTheme="majorBidi" w:hAnsiTheme="majorBidi" w:cstheme="majorBidi"/>
                <w:sz w:val="24"/>
                <w:szCs w:val="24"/>
                <w:lang w:val="en-GB"/>
              </w:rPr>
              <w:t>Neuro-Symbolic and Federated Learning for Privacy-Preserving Intrusion Detection</w:t>
            </w:r>
          </w:p>
          <w:p w14:paraId="68580BE7" w14:textId="77777777" w:rsidR="00651051" w:rsidRPr="002A0EE0" w:rsidRDefault="00651051" w:rsidP="002A0EE0">
            <w:pPr>
              <w:tabs>
                <w:tab w:val="center" w:pos="4513"/>
                <w:tab w:val="left" w:pos="7535"/>
              </w:tabs>
              <w:adjustRightInd w:val="0"/>
              <w:snapToGrid w:val="0"/>
              <w:jc w:val="center"/>
              <w:rPr>
                <w:rFonts w:asciiTheme="majorBidi" w:hAnsiTheme="majorBidi" w:cstheme="majorBidi"/>
                <w:sz w:val="24"/>
                <w:szCs w:val="24"/>
                <w:lang w:val="en-GB" w:eastAsia="en-GB"/>
              </w:rPr>
            </w:pPr>
            <w:r w:rsidRPr="002A0EE0">
              <w:rPr>
                <w:rFonts w:asciiTheme="majorBidi" w:eastAsia="Times New Roman" w:hAnsiTheme="majorBidi" w:cstheme="majorBidi"/>
                <w:sz w:val="24"/>
                <w:szCs w:val="24"/>
                <w:lang w:val="en-GB" w:eastAsia="en-GB"/>
              </w:rPr>
              <w:t>Marwah  Najm Mansoor, Manar Hasan Ali Al-Malik</w:t>
            </w:r>
            <w:r w:rsidRPr="002A0EE0">
              <w:rPr>
                <w:rFonts w:asciiTheme="majorBidi" w:eastAsia="Times New Roman" w:hAnsiTheme="majorBidi" w:cstheme="majorBidi"/>
                <w:sz w:val="24"/>
                <w:szCs w:val="24"/>
                <w:rtl/>
                <w:lang w:val="en-GB" w:eastAsia="en-GB"/>
              </w:rPr>
              <w:t>،</w:t>
            </w:r>
            <w:r w:rsidRPr="002A0EE0">
              <w:rPr>
                <w:rFonts w:asciiTheme="majorBidi" w:eastAsia="Times New Roman" w:hAnsiTheme="majorBidi" w:cstheme="majorBidi"/>
                <w:sz w:val="24"/>
                <w:szCs w:val="24"/>
                <w:lang w:val="en-GB" w:eastAsia="en-GB"/>
              </w:rPr>
              <w:t xml:space="preserve"> </w:t>
            </w:r>
            <w:bookmarkStart w:id="3" w:name="_Hlk230598134"/>
            <w:r w:rsidRPr="002A0EE0">
              <w:rPr>
                <w:rFonts w:asciiTheme="majorBidi" w:eastAsia="Times New Roman" w:hAnsiTheme="majorBidi" w:cstheme="majorBidi"/>
                <w:sz w:val="24"/>
                <w:szCs w:val="24"/>
                <w:lang w:val="en-GB" w:eastAsia="en-GB"/>
              </w:rPr>
              <w:t xml:space="preserve">Hanan Falah Mohammed </w:t>
            </w:r>
            <w:bookmarkEnd w:id="3"/>
            <w:r w:rsidRPr="002A0EE0">
              <w:rPr>
                <w:rFonts w:asciiTheme="majorBidi" w:eastAsia="Times New Roman" w:hAnsiTheme="majorBidi" w:cstheme="majorBidi"/>
                <w:sz w:val="24"/>
                <w:szCs w:val="24"/>
                <w:vertAlign w:val="superscript"/>
                <w:rtl/>
                <w:lang w:val="en-GB" w:eastAsia="en-GB"/>
              </w:rPr>
              <w:t xml:space="preserve">                    </w:t>
            </w:r>
            <w:r w:rsidRPr="002A0EE0">
              <w:rPr>
                <w:rFonts w:asciiTheme="majorBidi" w:eastAsia="Century" w:hAnsiTheme="majorBidi" w:cstheme="majorBidi"/>
                <w:sz w:val="24"/>
                <w:szCs w:val="24"/>
                <w:lang w:val="en-GB" w:bidi="ar-AE"/>
              </w:rPr>
              <w:t>Taif talal Alwakeel</w:t>
            </w:r>
            <w:r w:rsidRPr="002A0EE0">
              <w:rPr>
                <w:rFonts w:asciiTheme="majorBidi" w:hAnsiTheme="majorBidi" w:cstheme="majorBidi"/>
                <w:sz w:val="24"/>
                <w:szCs w:val="24"/>
                <w:lang w:val="en-GB" w:eastAsia="en-GB"/>
              </w:rPr>
              <w:t xml:space="preserve"> </w:t>
            </w:r>
          </w:p>
        </w:tc>
        <w:tc>
          <w:tcPr>
            <w:tcW w:w="1353" w:type="dxa"/>
            <w:tcBorders>
              <w:top w:val="single" w:sz="4" w:space="0" w:color="auto"/>
              <w:left w:val="single" w:sz="12" w:space="0" w:color="auto"/>
              <w:bottom w:val="single" w:sz="4" w:space="0" w:color="auto"/>
              <w:right w:val="single" w:sz="12" w:space="0" w:color="auto"/>
            </w:tcBorders>
            <w:vAlign w:val="center"/>
          </w:tcPr>
          <w:p w14:paraId="14CD8A8B" w14:textId="17494CAC" w:rsidR="00651051" w:rsidRPr="002A0EE0" w:rsidRDefault="00651051" w:rsidP="002A0EE0">
            <w:pPr>
              <w:bidi/>
              <w:jc w:val="center"/>
              <w:rPr>
                <w:rFonts w:asciiTheme="majorBidi" w:hAnsiTheme="majorBidi" w:cstheme="majorBidi"/>
                <w:sz w:val="24"/>
                <w:szCs w:val="24"/>
                <w:rtl/>
                <w:lang w:bidi="ar-IQ"/>
              </w:rPr>
            </w:pPr>
            <w:r>
              <w:rPr>
                <w:rFonts w:asciiTheme="majorBidi" w:hAnsiTheme="majorBidi" w:cstheme="majorBidi"/>
                <w:sz w:val="24"/>
                <w:szCs w:val="24"/>
                <w:lang w:bidi="ar-IQ"/>
              </w:rPr>
              <w:t>333_355</w:t>
            </w:r>
          </w:p>
        </w:tc>
      </w:tr>
      <w:tr w:rsidR="00651051" w:rsidRPr="002A0EE0" w14:paraId="5C9169F7" w14:textId="77777777" w:rsidTr="002A0EE0">
        <w:trPr>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tcPr>
          <w:p w14:paraId="792F3853" w14:textId="174946DF" w:rsidR="00651051" w:rsidRPr="002A0EE0" w:rsidRDefault="00651051" w:rsidP="002A0EE0">
            <w:pPr>
              <w:bidi/>
              <w:jc w:val="center"/>
              <w:rPr>
                <w:rFonts w:asciiTheme="majorBidi" w:hAnsiTheme="majorBidi" w:cstheme="majorBidi"/>
                <w:sz w:val="24"/>
                <w:szCs w:val="24"/>
                <w:rtl/>
                <w:lang w:bidi="ar-IQ"/>
              </w:rPr>
            </w:pPr>
            <w:r>
              <w:rPr>
                <w:rFonts w:asciiTheme="majorBidi" w:hAnsiTheme="majorBidi" w:cstheme="majorBidi"/>
                <w:sz w:val="24"/>
                <w:szCs w:val="24"/>
                <w:lang w:bidi="ar-IQ"/>
              </w:rPr>
              <w:t>22</w:t>
            </w:r>
          </w:p>
        </w:tc>
        <w:tc>
          <w:tcPr>
            <w:tcW w:w="7962" w:type="dxa"/>
            <w:tcBorders>
              <w:top w:val="single" w:sz="4" w:space="0" w:color="auto"/>
              <w:left w:val="single" w:sz="12" w:space="0" w:color="auto"/>
              <w:bottom w:val="single" w:sz="4" w:space="0" w:color="auto"/>
              <w:right w:val="single" w:sz="12" w:space="0" w:color="auto"/>
            </w:tcBorders>
          </w:tcPr>
          <w:p w14:paraId="2390D2EC" w14:textId="77777777" w:rsidR="00651051" w:rsidRPr="002A0EE0" w:rsidRDefault="00651051" w:rsidP="002A0EE0">
            <w:pPr>
              <w:pStyle w:val="aa"/>
              <w:bidi/>
              <w:spacing w:before="0" w:beforeAutospacing="0" w:after="0" w:afterAutospacing="0"/>
              <w:jc w:val="center"/>
              <w:rPr>
                <w:rFonts w:asciiTheme="majorBidi" w:eastAsia="Calibri" w:hAnsiTheme="majorBidi" w:cstheme="majorBidi"/>
                <w:color w:val="000000" w:themeColor="text1"/>
                <w:position w:val="1"/>
                <w:lang w:bidi="ar-IQ"/>
              </w:rPr>
            </w:pPr>
            <w:r w:rsidRPr="002A0EE0">
              <w:rPr>
                <w:rFonts w:asciiTheme="majorBidi" w:eastAsia="Calibri" w:hAnsiTheme="majorBidi" w:cstheme="majorBidi"/>
                <w:color w:val="000000" w:themeColor="text1"/>
                <w:position w:val="1"/>
                <w:lang w:bidi="ar-IQ"/>
              </w:rPr>
              <w:t xml:space="preserve">The Error Analysis two-dimension nonlinear convection diffusion problem by using Crank- Nicolson Petrov Weak Galerkin </w:t>
            </w:r>
          </w:p>
          <w:p w14:paraId="05F86A80" w14:textId="77777777" w:rsidR="00651051" w:rsidRPr="002A0EE0" w:rsidRDefault="00651051" w:rsidP="002A0EE0">
            <w:pPr>
              <w:jc w:val="center"/>
              <w:rPr>
                <w:rFonts w:asciiTheme="majorBidi" w:hAnsiTheme="majorBidi" w:cstheme="majorBidi"/>
                <w:sz w:val="24"/>
                <w:szCs w:val="24"/>
                <w:lang w:bidi="ar-AE"/>
              </w:rPr>
            </w:pPr>
            <w:r w:rsidRPr="002A0EE0">
              <w:rPr>
                <w:rFonts w:asciiTheme="majorBidi" w:hAnsiTheme="majorBidi" w:cstheme="majorBidi"/>
                <w:color w:val="000000" w:themeColor="text1"/>
                <w:position w:val="1"/>
                <w:sz w:val="24"/>
                <w:szCs w:val="24"/>
                <w:lang w:bidi="ar-IQ"/>
              </w:rPr>
              <w:t>Wafaa S. Mohammed</w:t>
            </w:r>
          </w:p>
        </w:tc>
        <w:tc>
          <w:tcPr>
            <w:tcW w:w="1353" w:type="dxa"/>
            <w:tcBorders>
              <w:top w:val="single" w:sz="4" w:space="0" w:color="auto"/>
              <w:left w:val="single" w:sz="12" w:space="0" w:color="auto"/>
              <w:bottom w:val="single" w:sz="4" w:space="0" w:color="auto"/>
              <w:right w:val="single" w:sz="12" w:space="0" w:color="auto"/>
            </w:tcBorders>
            <w:vAlign w:val="center"/>
          </w:tcPr>
          <w:p w14:paraId="261A5DE9" w14:textId="720F20F9" w:rsidR="00651051" w:rsidRPr="002A0EE0" w:rsidRDefault="00651051" w:rsidP="002A0EE0">
            <w:pPr>
              <w:bidi/>
              <w:jc w:val="center"/>
              <w:rPr>
                <w:rFonts w:asciiTheme="majorBidi" w:hAnsiTheme="majorBidi" w:cstheme="majorBidi"/>
                <w:sz w:val="24"/>
                <w:szCs w:val="24"/>
                <w:rtl/>
                <w:lang w:bidi="ar-IQ"/>
              </w:rPr>
            </w:pPr>
            <w:r>
              <w:rPr>
                <w:rFonts w:asciiTheme="majorBidi" w:hAnsiTheme="majorBidi" w:cstheme="majorBidi"/>
                <w:sz w:val="24"/>
                <w:szCs w:val="24"/>
                <w:lang w:bidi="ar-IQ"/>
              </w:rPr>
              <w:t>356_380</w:t>
            </w:r>
          </w:p>
        </w:tc>
      </w:tr>
      <w:tr w:rsidR="00651051" w:rsidRPr="002A0EE0" w14:paraId="0CF31F27" w14:textId="77777777" w:rsidTr="00186737">
        <w:trPr>
          <w:trHeight w:val="1293"/>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tcPr>
          <w:p w14:paraId="519B1D05" w14:textId="6E650AC3" w:rsidR="00651051" w:rsidRPr="002A0EE0" w:rsidRDefault="00651051" w:rsidP="002A0EE0">
            <w:pPr>
              <w:bidi/>
              <w:jc w:val="center"/>
              <w:rPr>
                <w:rFonts w:asciiTheme="majorBidi" w:hAnsiTheme="majorBidi" w:cstheme="majorBidi"/>
                <w:sz w:val="24"/>
                <w:szCs w:val="24"/>
                <w:rtl/>
                <w:lang w:bidi="ar-IQ"/>
              </w:rPr>
            </w:pPr>
            <w:r>
              <w:rPr>
                <w:rFonts w:asciiTheme="majorBidi" w:hAnsiTheme="majorBidi" w:cstheme="majorBidi"/>
                <w:sz w:val="24"/>
                <w:szCs w:val="24"/>
                <w:lang w:bidi="ar-IQ"/>
              </w:rPr>
              <w:t>23</w:t>
            </w:r>
          </w:p>
        </w:tc>
        <w:tc>
          <w:tcPr>
            <w:tcW w:w="7962" w:type="dxa"/>
            <w:tcBorders>
              <w:top w:val="single" w:sz="4" w:space="0" w:color="auto"/>
              <w:left w:val="single" w:sz="12" w:space="0" w:color="auto"/>
              <w:bottom w:val="single" w:sz="4" w:space="0" w:color="auto"/>
              <w:right w:val="single" w:sz="12" w:space="0" w:color="auto"/>
            </w:tcBorders>
          </w:tcPr>
          <w:p w14:paraId="46B51F0F" w14:textId="77777777" w:rsidR="00651051" w:rsidRPr="002A0EE0" w:rsidRDefault="00651051" w:rsidP="002A0EE0">
            <w:pPr>
              <w:jc w:val="center"/>
              <w:rPr>
                <w:rFonts w:asciiTheme="majorBidi" w:hAnsiTheme="majorBidi" w:cstheme="majorBidi"/>
                <w:sz w:val="24"/>
                <w:szCs w:val="24"/>
              </w:rPr>
            </w:pPr>
            <w:r w:rsidRPr="002A0EE0">
              <w:rPr>
                <w:rFonts w:asciiTheme="majorBidi" w:hAnsiTheme="majorBidi" w:cstheme="majorBidi"/>
                <w:sz w:val="24"/>
                <w:szCs w:val="24"/>
              </w:rPr>
              <w:t>Green Spectrophotometric and RP-HPLC Methods for the Quantification of Cefdinir in Pharmaceutical Formulations: A Comprehensive Review</w:t>
            </w:r>
          </w:p>
          <w:p w14:paraId="2D755EEA" w14:textId="77777777" w:rsidR="00651051" w:rsidRPr="002A0EE0" w:rsidRDefault="00651051" w:rsidP="002A0EE0">
            <w:pPr>
              <w:spacing w:after="160"/>
              <w:jc w:val="center"/>
              <w:rPr>
                <w:rFonts w:asciiTheme="majorBidi" w:hAnsiTheme="majorBidi" w:cstheme="majorBidi"/>
                <w:sz w:val="24"/>
                <w:szCs w:val="24"/>
                <w:vertAlign w:val="superscript"/>
                <w:lang w:val="en-GB"/>
              </w:rPr>
            </w:pPr>
            <w:r w:rsidRPr="002A0EE0">
              <w:rPr>
                <w:rFonts w:asciiTheme="majorBidi" w:hAnsiTheme="majorBidi" w:cstheme="majorBidi"/>
                <w:sz w:val="24"/>
                <w:szCs w:val="24"/>
                <w:lang w:val="en-GB"/>
              </w:rPr>
              <w:t>Abdalrhman Saad Abdaljaber</w:t>
            </w:r>
            <w:bookmarkStart w:id="4" w:name="_Hlk225989207"/>
            <w:r w:rsidRPr="002A0EE0">
              <w:rPr>
                <w:rFonts w:asciiTheme="majorBidi" w:hAnsiTheme="majorBidi" w:cstheme="majorBidi"/>
                <w:sz w:val="24"/>
                <w:szCs w:val="24"/>
                <w:vertAlign w:val="superscript"/>
                <w:lang w:val="en-GB"/>
              </w:rPr>
              <w:t xml:space="preserve">     </w:t>
            </w:r>
            <w:r w:rsidRPr="002A0EE0">
              <w:rPr>
                <w:rFonts w:asciiTheme="majorBidi" w:hAnsiTheme="majorBidi" w:cstheme="majorBidi"/>
                <w:sz w:val="24"/>
                <w:szCs w:val="24"/>
                <w:lang w:val="en-GB"/>
              </w:rPr>
              <w:t xml:space="preserve">  Lamya A. Sarsam</w:t>
            </w:r>
            <w:bookmarkEnd w:id="4"/>
            <w:r w:rsidRPr="002A0EE0">
              <w:rPr>
                <w:rFonts w:asciiTheme="majorBidi" w:hAnsiTheme="majorBidi" w:cstheme="majorBidi"/>
                <w:sz w:val="24"/>
                <w:szCs w:val="24"/>
                <w:vertAlign w:val="superscript"/>
                <w:lang w:val="en-GB"/>
              </w:rPr>
              <w:t xml:space="preserve"> </w:t>
            </w:r>
          </w:p>
        </w:tc>
        <w:tc>
          <w:tcPr>
            <w:tcW w:w="1353" w:type="dxa"/>
            <w:tcBorders>
              <w:top w:val="single" w:sz="4" w:space="0" w:color="auto"/>
              <w:left w:val="single" w:sz="12" w:space="0" w:color="auto"/>
              <w:bottom w:val="single" w:sz="4" w:space="0" w:color="auto"/>
              <w:right w:val="single" w:sz="12" w:space="0" w:color="auto"/>
            </w:tcBorders>
            <w:vAlign w:val="center"/>
          </w:tcPr>
          <w:p w14:paraId="0AC6F008" w14:textId="4970DD07" w:rsidR="00651051" w:rsidRPr="002A0EE0" w:rsidRDefault="00651051" w:rsidP="002A0EE0">
            <w:pPr>
              <w:bidi/>
              <w:jc w:val="center"/>
              <w:rPr>
                <w:rFonts w:asciiTheme="majorBidi" w:hAnsiTheme="majorBidi" w:cstheme="majorBidi"/>
                <w:sz w:val="24"/>
                <w:szCs w:val="24"/>
                <w:rtl/>
                <w:lang w:bidi="ar-IQ"/>
              </w:rPr>
            </w:pPr>
            <w:r>
              <w:rPr>
                <w:rFonts w:asciiTheme="majorBidi" w:hAnsiTheme="majorBidi" w:cstheme="majorBidi"/>
                <w:sz w:val="24"/>
                <w:szCs w:val="24"/>
                <w:lang w:bidi="ar-IQ"/>
              </w:rPr>
              <w:t>381_400</w:t>
            </w:r>
          </w:p>
        </w:tc>
      </w:tr>
      <w:tr w:rsidR="00651051" w:rsidRPr="002A0EE0" w14:paraId="7423ED0F" w14:textId="77777777" w:rsidTr="00186737">
        <w:trPr>
          <w:trHeight w:val="1055"/>
          <w:jc w:val="center"/>
        </w:trPr>
        <w:tc>
          <w:tcPr>
            <w:tcW w:w="720" w:type="dxa"/>
            <w:tcBorders>
              <w:top w:val="single" w:sz="4" w:space="0" w:color="auto"/>
              <w:left w:val="single" w:sz="12" w:space="0" w:color="auto"/>
              <w:bottom w:val="single" w:sz="4" w:space="0" w:color="auto"/>
              <w:right w:val="single" w:sz="12" w:space="0" w:color="auto"/>
            </w:tcBorders>
            <w:shd w:val="clear" w:color="auto" w:fill="B6DDE8"/>
            <w:vAlign w:val="center"/>
          </w:tcPr>
          <w:p w14:paraId="19CD1511" w14:textId="438EDC30" w:rsidR="00651051" w:rsidRPr="002A0EE0" w:rsidRDefault="00651051" w:rsidP="002A0EE0">
            <w:pPr>
              <w:bidi/>
              <w:jc w:val="center"/>
              <w:rPr>
                <w:rFonts w:asciiTheme="majorBidi" w:hAnsiTheme="majorBidi" w:cstheme="majorBidi"/>
                <w:sz w:val="24"/>
                <w:szCs w:val="24"/>
                <w:rtl/>
                <w:lang w:bidi="ar-IQ"/>
              </w:rPr>
            </w:pPr>
            <w:r w:rsidRPr="002A0EE0">
              <w:rPr>
                <w:rFonts w:asciiTheme="majorBidi" w:hAnsiTheme="majorBidi" w:cstheme="majorBidi"/>
                <w:sz w:val="24"/>
                <w:szCs w:val="24"/>
                <w:lang w:bidi="ar-IQ"/>
              </w:rPr>
              <w:t>24</w:t>
            </w:r>
          </w:p>
        </w:tc>
        <w:tc>
          <w:tcPr>
            <w:tcW w:w="7962" w:type="dxa"/>
            <w:tcBorders>
              <w:top w:val="single" w:sz="4" w:space="0" w:color="auto"/>
              <w:left w:val="single" w:sz="12" w:space="0" w:color="auto"/>
              <w:bottom w:val="single" w:sz="4" w:space="0" w:color="auto"/>
              <w:right w:val="single" w:sz="12" w:space="0" w:color="auto"/>
            </w:tcBorders>
          </w:tcPr>
          <w:p w14:paraId="66E0EF04" w14:textId="77777777" w:rsidR="00651051" w:rsidRPr="002A0EE0" w:rsidRDefault="00651051" w:rsidP="00344AFA">
            <w:pPr>
              <w:contextualSpacing/>
              <w:jc w:val="center"/>
              <w:rPr>
                <w:rFonts w:asciiTheme="majorBidi" w:hAnsiTheme="majorBidi" w:cstheme="majorBidi"/>
                <w:sz w:val="24"/>
                <w:szCs w:val="24"/>
              </w:rPr>
            </w:pPr>
            <w:r w:rsidRPr="002A0EE0">
              <w:rPr>
                <w:rFonts w:asciiTheme="majorBidi" w:hAnsiTheme="majorBidi" w:cstheme="majorBidi"/>
                <w:sz w:val="24"/>
                <w:szCs w:val="24"/>
              </w:rPr>
              <w:t>Comparative evaluation of the efficiency of Endophytic Aspergillus and Penicillium spp. for gold nanoparticles biosynthesis</w:t>
            </w:r>
          </w:p>
          <w:p w14:paraId="6BADEE5C" w14:textId="5E3E5414" w:rsidR="00651051" w:rsidRPr="002A0EE0" w:rsidRDefault="00651051" w:rsidP="00344AFA">
            <w:pPr>
              <w:spacing w:after="160"/>
              <w:jc w:val="center"/>
              <w:rPr>
                <w:rFonts w:asciiTheme="majorBidi" w:hAnsiTheme="majorBidi" w:cstheme="majorBidi"/>
                <w:sz w:val="24"/>
                <w:szCs w:val="24"/>
              </w:rPr>
            </w:pPr>
            <w:r w:rsidRPr="002A0EE0">
              <w:rPr>
                <w:rFonts w:asciiTheme="majorBidi" w:hAnsiTheme="majorBidi" w:cstheme="majorBidi"/>
                <w:sz w:val="24"/>
                <w:szCs w:val="24"/>
              </w:rPr>
              <w:t>Azhar Mohammed Alewi</w:t>
            </w:r>
          </w:p>
        </w:tc>
        <w:tc>
          <w:tcPr>
            <w:tcW w:w="1353" w:type="dxa"/>
            <w:tcBorders>
              <w:top w:val="single" w:sz="4" w:space="0" w:color="auto"/>
              <w:left w:val="single" w:sz="12" w:space="0" w:color="auto"/>
              <w:bottom w:val="single" w:sz="4" w:space="0" w:color="auto"/>
              <w:right w:val="single" w:sz="12" w:space="0" w:color="auto"/>
            </w:tcBorders>
            <w:vAlign w:val="center"/>
          </w:tcPr>
          <w:p w14:paraId="0A9E40AD" w14:textId="09DC3707" w:rsidR="00651051" w:rsidRPr="002A0EE0" w:rsidRDefault="00651051" w:rsidP="002A0EE0">
            <w:pPr>
              <w:bidi/>
              <w:jc w:val="center"/>
              <w:rPr>
                <w:rFonts w:asciiTheme="majorBidi" w:hAnsiTheme="majorBidi" w:cstheme="majorBidi"/>
                <w:sz w:val="24"/>
                <w:szCs w:val="24"/>
                <w:lang w:bidi="ar-IQ"/>
              </w:rPr>
            </w:pPr>
            <w:r>
              <w:rPr>
                <w:rFonts w:asciiTheme="majorBidi" w:hAnsiTheme="majorBidi" w:cstheme="majorBidi"/>
                <w:sz w:val="24"/>
                <w:szCs w:val="24"/>
                <w:lang w:bidi="ar-IQ"/>
              </w:rPr>
              <w:t>401_415</w:t>
            </w:r>
          </w:p>
        </w:tc>
      </w:tr>
      <w:bookmarkEnd w:id="1"/>
    </w:tbl>
    <w:p w14:paraId="65FED024" w14:textId="77777777" w:rsidR="00186737" w:rsidRDefault="00186737" w:rsidP="00186737">
      <w:pPr>
        <w:bidi/>
        <w:spacing w:after="0" w:line="240" w:lineRule="auto"/>
        <w:jc w:val="both"/>
        <w:rPr>
          <w:rFonts w:ascii="Simplified Arabic" w:hAnsi="Simplified Arabic" w:cs="Simplified Arabic"/>
          <w:rtl/>
          <w:lang w:bidi="ar-IQ"/>
        </w:rPr>
      </w:pPr>
    </w:p>
    <w:p w14:paraId="635DC2D2" w14:textId="77777777" w:rsidR="007B2F3D" w:rsidRDefault="007B2F3D" w:rsidP="00DD648A">
      <w:pPr>
        <w:tabs>
          <w:tab w:val="left" w:pos="5190"/>
        </w:tabs>
        <w:rPr>
          <w:rFonts w:cs="DecoType Thuluth"/>
          <w:sz w:val="28"/>
          <w:szCs w:val="28"/>
          <w:rtl/>
          <w:lang w:bidi="ar-IQ"/>
        </w:rPr>
        <w:sectPr w:rsidR="007B2F3D" w:rsidSect="005D3414">
          <w:headerReference w:type="default" r:id="rId20"/>
          <w:footerReference w:type="default" r:id="rId21"/>
          <w:pgSz w:w="12240" w:h="15840"/>
          <w:pgMar w:top="1890" w:right="1440" w:bottom="1440" w:left="1440" w:header="432" w:footer="720" w:gutter="0"/>
          <w:pgNumType w:start="1"/>
          <w:cols w:space="720"/>
          <w:docGrid w:linePitch="360"/>
        </w:sectPr>
      </w:pPr>
    </w:p>
    <w:p w14:paraId="0DC4FB96" w14:textId="698D0474" w:rsidR="00897EBD" w:rsidRPr="00897EBD" w:rsidRDefault="004C1FF1" w:rsidP="00897EBD">
      <w:pPr>
        <w:pStyle w:val="a6"/>
        <w:bidi/>
        <w:jc w:val="center"/>
        <w:rPr>
          <w:rFonts w:ascii="Times New Roman" w:hAnsi="Times New Roman" w:cs="Times New Roman"/>
          <w:b/>
          <w:bCs/>
          <w:sz w:val="26"/>
          <w:szCs w:val="26"/>
          <w:lang w:bidi="ar-IQ"/>
        </w:rPr>
      </w:pPr>
      <w:r w:rsidRPr="00BE0C3B">
        <w:rPr>
          <w:rFonts w:ascii="Simplified Arabic" w:hAnsi="Simplified Arabic" w:cs="Simplified Arabic"/>
          <w:noProof/>
          <w:sz w:val="26"/>
          <w:szCs w:val="26"/>
        </w:rPr>
        <w:lastRenderedPageBreak/>
        <mc:AlternateContent>
          <mc:Choice Requires="wps">
            <w:drawing>
              <wp:anchor distT="0" distB="0" distL="274320" distR="114300" simplePos="0" relativeHeight="251686912" behindDoc="0" locked="0" layoutInCell="1" allowOverlap="1" wp14:anchorId="50AC952E" wp14:editId="036BC79D">
                <wp:simplePos x="0" y="0"/>
                <wp:positionH relativeFrom="margin">
                  <wp:posOffset>-431800</wp:posOffset>
                </wp:positionH>
                <wp:positionV relativeFrom="margin">
                  <wp:posOffset>3175</wp:posOffset>
                </wp:positionV>
                <wp:extent cx="2296795" cy="5247640"/>
                <wp:effectExtent l="0" t="0" r="27305" b="10160"/>
                <wp:wrapSquare wrapText="bothSides"/>
                <wp:docPr id="1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96795" cy="5247640"/>
                        </a:xfrm>
                        <a:prstGeom prst="rect">
                          <a:avLst/>
                        </a:prstGeom>
                        <a:noFill/>
                        <a:ln w="3175" algn="ctr">
                          <a:solidFill>
                            <a:srgbClr val="000000"/>
                          </a:solidFill>
                          <a:miter lim="800000"/>
                          <a:headEnd/>
                          <a:tailEnd/>
                        </a:ln>
                      </wps:spPr>
                      <wps:txbx>
                        <w:txbxContent>
                          <w:p w14:paraId="2227271F" w14:textId="77777777" w:rsidR="004C1FF1" w:rsidRPr="00196BCA" w:rsidRDefault="004C1FF1" w:rsidP="004C1FF1">
                            <w:pPr>
                              <w:pStyle w:val="a6"/>
                              <w:rPr>
                                <w:rFonts w:asciiTheme="majorBidi" w:hAnsiTheme="majorBidi" w:cstheme="majorBidi"/>
                                <w:color w:val="002060"/>
                                <w:sz w:val="20"/>
                                <w:szCs w:val="20"/>
                              </w:rPr>
                            </w:pPr>
                            <w:r w:rsidRPr="00196BCA">
                              <w:rPr>
                                <w:rFonts w:asciiTheme="majorBidi" w:hAnsiTheme="majorBidi" w:cstheme="majorBidi"/>
                                <w:color w:val="002060"/>
                                <w:sz w:val="20"/>
                                <w:szCs w:val="20"/>
                              </w:rPr>
                              <w:t>ISSN (Print) 1994-697X</w:t>
                            </w:r>
                          </w:p>
                          <w:p w14:paraId="531485C2" w14:textId="77777777" w:rsidR="004C1FF1" w:rsidRDefault="004C1FF1" w:rsidP="004C1FF1">
                            <w:pPr>
                              <w:pStyle w:val="a6"/>
                              <w:rPr>
                                <w:rFonts w:asciiTheme="majorBidi" w:hAnsiTheme="majorBidi" w:cstheme="majorBidi"/>
                                <w:color w:val="002060"/>
                                <w:sz w:val="20"/>
                                <w:szCs w:val="20"/>
                              </w:rPr>
                            </w:pPr>
                            <w:r w:rsidRPr="00196BCA">
                              <w:rPr>
                                <w:rFonts w:asciiTheme="majorBidi" w:hAnsiTheme="majorBidi" w:cstheme="majorBidi"/>
                                <w:color w:val="002060"/>
                                <w:sz w:val="20"/>
                                <w:szCs w:val="20"/>
                              </w:rPr>
                              <w:t xml:space="preserve">ISSN (Online) 2706-722X </w:t>
                            </w:r>
                          </w:p>
                          <w:p w14:paraId="555C57D7" w14:textId="77777777" w:rsidR="004C1FF1" w:rsidRPr="00196BCA" w:rsidRDefault="004C1FF1" w:rsidP="004C1FF1">
                            <w:pPr>
                              <w:pStyle w:val="a6"/>
                              <w:rPr>
                                <w:rFonts w:asciiTheme="majorBidi" w:hAnsiTheme="majorBidi" w:cstheme="majorBidi"/>
                                <w:color w:val="002060"/>
                                <w:sz w:val="20"/>
                                <w:szCs w:val="20"/>
                              </w:rPr>
                            </w:pPr>
                            <w:r w:rsidRPr="00196BCA">
                              <w:rPr>
                                <w:rFonts w:asciiTheme="majorBidi" w:hAnsiTheme="majorBidi" w:cstheme="majorBidi"/>
                                <w:color w:val="002060"/>
                                <w:sz w:val="20"/>
                                <w:szCs w:val="20"/>
                              </w:rPr>
                              <w:t xml:space="preserve"> </w:t>
                            </w:r>
                          </w:p>
                          <w:p w14:paraId="52A2B051" w14:textId="58D588E2" w:rsidR="004C1FF1" w:rsidRDefault="004C1FF1" w:rsidP="004C1FF1">
                            <w:pPr>
                              <w:tabs>
                                <w:tab w:val="left" w:pos="1257"/>
                                <w:tab w:val="center" w:pos="4393"/>
                              </w:tabs>
                              <w:spacing w:before="240" w:after="0" w:line="240" w:lineRule="auto"/>
                              <w:rPr>
                                <w:rFonts w:ascii="Times New Roman" w:eastAsia="Calibri" w:hAnsi="Times New Roman"/>
                                <w:b/>
                                <w:bCs/>
                                <w:color w:val="000000"/>
                                <w:sz w:val="20"/>
                                <w:szCs w:val="20"/>
                                <w:lang w:bidi="ar-IQ"/>
                              </w:rPr>
                            </w:pPr>
                            <w:r>
                              <w:rPr>
                                <w:rFonts w:ascii="Times New Roman" w:eastAsia="Calibri" w:hAnsi="Times New Roman"/>
                                <w:b/>
                                <w:bCs/>
                                <w:color w:val="000000"/>
                                <w:sz w:val="20"/>
                                <w:szCs w:val="20"/>
                                <w:lang w:bidi="ar-IQ"/>
                              </w:rPr>
                              <w:t>DOI:</w:t>
                            </w:r>
                            <w:hyperlink r:id="rId22" w:history="1">
                              <w:r w:rsidRPr="00442735">
                                <w:rPr>
                                  <w:rStyle w:val="Hyperlink"/>
                                  <w:rFonts w:ascii="Times New Roman" w:eastAsia="Calibri" w:hAnsi="Times New Roman"/>
                                  <w:b/>
                                  <w:bCs/>
                                  <w:sz w:val="20"/>
                                  <w:szCs w:val="20"/>
                                  <w:lang w:bidi="ar-IQ"/>
                                </w:rPr>
                                <w:t>https://doi.org/10.54633/2333-025-059-005</w:t>
                              </w:r>
                            </w:hyperlink>
                          </w:p>
                          <w:p w14:paraId="4652EBC4" w14:textId="77777777" w:rsidR="004C1FF1" w:rsidRDefault="004C1FF1" w:rsidP="004C1FF1">
                            <w:pPr>
                              <w:pStyle w:val="a6"/>
                              <w:rPr>
                                <w:rFonts w:asciiTheme="majorBidi" w:eastAsia="Calibri" w:hAnsiTheme="majorBidi" w:cstheme="majorBidi"/>
                                <w:lang w:bidi="ar-IQ"/>
                              </w:rPr>
                            </w:pPr>
                          </w:p>
                          <w:p w14:paraId="762B9DF5" w14:textId="77777777" w:rsidR="004C1FF1" w:rsidRPr="00B142E0" w:rsidRDefault="004C1FF1" w:rsidP="004C1FF1">
                            <w:pPr>
                              <w:pStyle w:val="a6"/>
                              <w:rPr>
                                <w:rFonts w:asciiTheme="majorBidi" w:eastAsia="Calibri" w:hAnsiTheme="majorBidi" w:cstheme="majorBidi"/>
                                <w:lang w:bidi="ar-IQ"/>
                              </w:rPr>
                            </w:pPr>
                          </w:p>
                          <w:p w14:paraId="0257C575" w14:textId="77777777" w:rsidR="004C1FF1" w:rsidRPr="00B142E0" w:rsidRDefault="004C1FF1" w:rsidP="004C1FF1">
                            <w:pPr>
                              <w:pStyle w:val="a6"/>
                              <w:rPr>
                                <w:rFonts w:asciiTheme="majorBidi" w:eastAsia="Calibri" w:hAnsiTheme="majorBidi" w:cstheme="majorBidi"/>
                                <w:lang w:bidi="ar-IQ"/>
                              </w:rPr>
                            </w:pPr>
                            <w:r w:rsidRPr="00B142E0">
                              <w:rPr>
                                <w:rFonts w:asciiTheme="majorBidi" w:eastAsia="Calibri" w:hAnsiTheme="majorBidi" w:cstheme="majorBidi"/>
                                <w:lang w:bidi="ar-IQ"/>
                              </w:rPr>
                              <w:t>Received:2/June/2026</w:t>
                            </w:r>
                          </w:p>
                          <w:p w14:paraId="7C3EB9F2" w14:textId="77777777" w:rsidR="004C1FF1" w:rsidRDefault="004C1FF1" w:rsidP="004C1FF1">
                            <w:pPr>
                              <w:pStyle w:val="a6"/>
                              <w:rPr>
                                <w:rFonts w:asciiTheme="majorBidi" w:eastAsia="Calibri" w:hAnsiTheme="majorBidi" w:cstheme="majorBidi"/>
                                <w:lang w:bidi="ar-IQ"/>
                              </w:rPr>
                            </w:pPr>
                            <w:r w:rsidRPr="00B142E0">
                              <w:rPr>
                                <w:rFonts w:asciiTheme="majorBidi" w:eastAsia="Calibri" w:hAnsiTheme="majorBidi" w:cstheme="majorBidi"/>
                                <w:lang w:bidi="ar-IQ"/>
                              </w:rPr>
                              <w:t>Accepted:7/Sep/2026</w:t>
                            </w:r>
                          </w:p>
                          <w:p w14:paraId="2CE0D3CD" w14:textId="5AB65E08" w:rsidR="004C1FF1" w:rsidRDefault="004C1FF1" w:rsidP="004C1FF1">
                            <w:pPr>
                              <w:pStyle w:val="a6"/>
                              <w:rPr>
                                <w:rFonts w:asciiTheme="majorBidi" w:eastAsia="Calibri" w:hAnsiTheme="majorBidi" w:cstheme="majorBidi"/>
                                <w:lang w:bidi="ar-IQ"/>
                              </w:rPr>
                            </w:pPr>
                            <w:r w:rsidRPr="004C1FF1">
                              <w:rPr>
                                <w:rFonts w:asciiTheme="majorBidi" w:eastAsia="Calibri" w:hAnsiTheme="majorBidi" w:cstheme="majorBidi"/>
                                <w:lang w:bidi="ar-IQ"/>
                              </w:rPr>
                              <w:t>Published online:30/Sep/2026</w:t>
                            </w:r>
                          </w:p>
                          <w:p w14:paraId="482A192B" w14:textId="77777777" w:rsidR="004C1FF1" w:rsidRDefault="004C1FF1" w:rsidP="004C1FF1">
                            <w:pPr>
                              <w:pStyle w:val="a6"/>
                              <w:rPr>
                                <w:rFonts w:asciiTheme="majorBidi" w:eastAsia="Calibri" w:hAnsiTheme="majorBidi" w:cstheme="majorBidi"/>
                                <w:lang w:bidi="ar-IQ"/>
                              </w:rPr>
                            </w:pPr>
                          </w:p>
                          <w:p w14:paraId="12145B38" w14:textId="77777777" w:rsidR="004C1FF1" w:rsidRPr="0096472F" w:rsidRDefault="004C1FF1" w:rsidP="004C1FF1">
                            <w:pPr>
                              <w:jc w:val="center"/>
                              <w:rPr>
                                <w:color w:val="2F5897"/>
                              </w:rPr>
                            </w:pPr>
                            <w:r>
                              <w:rPr>
                                <w:noProof/>
                                <w:color w:val="2F5897"/>
                                <w:rtl/>
                              </w:rPr>
                              <w:drawing>
                                <wp:inline distT="0" distB="0" distL="0" distR="0" wp14:anchorId="10D554C2" wp14:editId="63215A96">
                                  <wp:extent cx="1406769" cy="398585"/>
                                  <wp:effectExtent l="0" t="0" r="3175" b="1905"/>
                                  <wp:docPr id="7" name="Picture 21" descr="cc_license_spectrum-633x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c_license_spectrum-633x10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08386" cy="399043"/>
                                          </a:xfrm>
                                          <a:prstGeom prst="rect">
                                            <a:avLst/>
                                          </a:prstGeom>
                                          <a:noFill/>
                                          <a:ln>
                                            <a:noFill/>
                                          </a:ln>
                                        </pic:spPr>
                                      </pic:pic>
                                    </a:graphicData>
                                  </a:graphic>
                                </wp:inline>
                              </w:drawing>
                            </w:r>
                          </w:p>
                          <w:p w14:paraId="31FC2998" w14:textId="77777777" w:rsidR="004C1FF1" w:rsidRPr="00D24E47" w:rsidRDefault="004C1FF1" w:rsidP="004C1FF1">
                            <w:pPr>
                              <w:pStyle w:val="a6"/>
                              <w:bidi/>
                              <w:jc w:val="center"/>
                              <w:rPr>
                                <w:rFonts w:asciiTheme="majorBidi" w:hAnsiTheme="majorBidi" w:cstheme="majorBidi"/>
                              </w:rPr>
                            </w:pPr>
                            <w:r w:rsidRPr="00D24E47">
                              <w:rPr>
                                <w:rFonts w:asciiTheme="majorBidi" w:hAnsiTheme="majorBidi" w:cstheme="majorBidi"/>
                              </w:rPr>
                              <w:t>MJAS: Humanities,</w:t>
                            </w:r>
                            <w:r>
                              <w:rPr>
                                <w:rFonts w:asciiTheme="majorBidi" w:hAnsiTheme="majorBidi" w:cstheme="majorBidi"/>
                              </w:rPr>
                              <w:t xml:space="preserve"> </w:t>
                            </w:r>
                            <w:r w:rsidRPr="00D24E47">
                              <w:rPr>
                                <w:rFonts w:asciiTheme="majorBidi" w:hAnsiTheme="majorBidi" w:cstheme="majorBidi"/>
                              </w:rPr>
                              <w:t>Social and</w:t>
                            </w:r>
                            <w:r>
                              <w:rPr>
                                <w:rFonts w:asciiTheme="majorBidi" w:hAnsiTheme="majorBidi" w:cstheme="majorBidi"/>
                              </w:rPr>
                              <w:t xml:space="preserve"> </w:t>
                            </w:r>
                            <w:r w:rsidRPr="00D24E47">
                              <w:rPr>
                                <w:rFonts w:asciiTheme="majorBidi" w:hAnsiTheme="majorBidi" w:cstheme="majorBidi"/>
                              </w:rPr>
                              <w:t>Applied Sciences</w:t>
                            </w:r>
                          </w:p>
                          <w:p w14:paraId="31D4732D" w14:textId="77777777" w:rsidR="004C1FF1" w:rsidRDefault="004C1FF1" w:rsidP="004C1FF1">
                            <w:pPr>
                              <w:pStyle w:val="a6"/>
                              <w:bidi/>
                              <w:jc w:val="center"/>
                              <w:rPr>
                                <w:rFonts w:asciiTheme="majorBidi" w:hAnsiTheme="majorBidi" w:cstheme="majorBidi"/>
                              </w:rPr>
                            </w:pPr>
                            <w:r w:rsidRPr="00D24E47">
                              <w:rPr>
                                <w:rFonts w:asciiTheme="majorBidi" w:hAnsiTheme="majorBidi" w:cstheme="majorBidi"/>
                              </w:rPr>
                              <w:t>Publishers</w:t>
                            </w:r>
                          </w:p>
                          <w:p w14:paraId="3E535FB6" w14:textId="77777777" w:rsidR="004C1FF1" w:rsidRDefault="004C1FF1" w:rsidP="004C1FF1">
                            <w:pPr>
                              <w:pStyle w:val="a6"/>
                              <w:bidi/>
                              <w:jc w:val="center"/>
                            </w:pPr>
                            <w:r w:rsidRPr="00D24E47">
                              <w:rPr>
                                <w:rFonts w:asciiTheme="majorBidi" w:hAnsiTheme="majorBidi" w:cstheme="majorBidi"/>
                              </w:rPr>
                              <w:t>The university of Misan.</w:t>
                            </w:r>
                          </w:p>
                          <w:p w14:paraId="1F8BA535" w14:textId="77777777" w:rsidR="004C1FF1" w:rsidRDefault="004C1FF1" w:rsidP="004C1FF1">
                            <w:pPr>
                              <w:pStyle w:val="a6"/>
                              <w:bidi/>
                              <w:jc w:val="center"/>
                              <w:rPr>
                                <w:rFonts w:asciiTheme="majorBidi" w:hAnsiTheme="majorBidi" w:cstheme="majorBidi"/>
                              </w:rPr>
                            </w:pPr>
                            <w:r w:rsidRPr="00D24E47">
                              <w:rPr>
                                <w:rFonts w:asciiTheme="majorBidi" w:hAnsiTheme="majorBidi" w:cstheme="majorBidi"/>
                              </w:rPr>
                              <w:t>College of Basic</w:t>
                            </w:r>
                            <w:r>
                              <w:rPr>
                                <w:rFonts w:asciiTheme="majorBidi" w:hAnsiTheme="majorBidi" w:cstheme="majorBidi"/>
                              </w:rPr>
                              <w:t xml:space="preserve"> </w:t>
                            </w:r>
                            <w:r w:rsidRPr="00D24E47">
                              <w:rPr>
                                <w:rFonts w:asciiTheme="majorBidi" w:hAnsiTheme="majorBidi" w:cstheme="majorBidi"/>
                              </w:rPr>
                              <w:t>Education This article is an open access article distributed under the</w:t>
                            </w:r>
                            <w:r>
                              <w:rPr>
                                <w:rFonts w:asciiTheme="majorBidi" w:hAnsiTheme="majorBidi" w:cstheme="majorBidi"/>
                              </w:rPr>
                              <w:t xml:space="preserve"> </w:t>
                            </w:r>
                            <w:r w:rsidRPr="00D24E47">
                              <w:rPr>
                                <w:rFonts w:asciiTheme="majorBidi" w:hAnsiTheme="majorBidi" w:cstheme="majorBidi"/>
                              </w:rPr>
                              <w:t>terms and conditions of the Creative Commons Attribution</w:t>
                            </w:r>
                          </w:p>
                          <w:p w14:paraId="4B4D9ECC" w14:textId="77777777" w:rsidR="004C1FF1" w:rsidRDefault="004C1FF1" w:rsidP="004C1FF1">
                            <w:pPr>
                              <w:pStyle w:val="a6"/>
                              <w:rPr>
                                <w:rFonts w:asciiTheme="majorBidi" w:hAnsiTheme="majorBidi" w:cstheme="majorBidi"/>
                              </w:rPr>
                            </w:pPr>
                          </w:p>
                          <w:p w14:paraId="7BD1C8F4" w14:textId="77777777" w:rsidR="004C1FF1" w:rsidRDefault="004C1FF1" w:rsidP="004C1FF1">
                            <w:pPr>
                              <w:pStyle w:val="a6"/>
                              <w:jc w:val="center"/>
                              <w:rPr>
                                <w:rFonts w:asciiTheme="majorBidi" w:hAnsiTheme="majorBidi" w:cstheme="majorBidi"/>
                              </w:rPr>
                            </w:pPr>
                            <w:r w:rsidRPr="00D24E47">
                              <w:rPr>
                                <w:rFonts w:asciiTheme="majorBidi" w:hAnsiTheme="majorBidi" w:cstheme="majorBidi"/>
                              </w:rPr>
                              <w:t>(CC BY NC ND 4.</w:t>
                            </w:r>
                            <w:r>
                              <w:rPr>
                                <w:rFonts w:asciiTheme="majorBidi" w:hAnsiTheme="majorBidi" w:cstheme="majorBidi"/>
                              </w:rPr>
                              <w:t>0)</w:t>
                            </w:r>
                          </w:p>
                          <w:p w14:paraId="3A173878" w14:textId="77777777" w:rsidR="004C1FF1" w:rsidRPr="00DD4C57" w:rsidRDefault="00CD17C3" w:rsidP="004C1FF1">
                            <w:pPr>
                              <w:pStyle w:val="a6"/>
                              <w:jc w:val="center"/>
                              <w:rPr>
                                <w:u w:val="single"/>
                              </w:rPr>
                            </w:pPr>
                            <w:hyperlink r:id="rId24" w:history="1">
                              <w:r w:rsidR="004C1FF1" w:rsidRPr="00DD4C57">
                                <w:rPr>
                                  <w:rStyle w:val="Hyperlink"/>
                                </w:rPr>
                                <w:t>https://creativecommons.org/licenses/by-nc-nd/4.0/</w:t>
                              </w:r>
                            </w:hyperlink>
                          </w:p>
                          <w:p w14:paraId="27DE28F0" w14:textId="77777777" w:rsidR="004C1FF1" w:rsidRPr="0096656E" w:rsidRDefault="004C1FF1" w:rsidP="004C1FF1">
                            <w:pPr>
                              <w:pStyle w:val="a6"/>
                            </w:pPr>
                          </w:p>
                        </w:txbxContent>
                      </wps:txbx>
                      <wps:bodyPr rot="0" vert="horz" wrap="square" lIns="182880" tIns="457200" rIns="182880" bIns="13716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34pt;margin-top:.25pt;width:180.85pt;height:413.2pt;flip:x;z-index:251686912;visibility:visible;mso-wrap-style:square;mso-width-percent:0;mso-height-percent:0;mso-wrap-distance-left:21.6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" filled="f" strokeweight=".25pt">
                <v:textbox inset="14.4pt,36pt,14.4pt,10.8pt">
                  <w:txbxContent>
                    <w:p w14:paraId="2227271F" w14:textId="77777777" w:rsidR="004C1FF1" w:rsidRPr="00196BCA" w:rsidRDefault="004C1FF1" w:rsidP="004C1FF1">
                      <w:pPr>
                        <w:pStyle w:val="a6"/>
                        <w:rPr>
                          <w:rFonts w:asciiTheme="majorBidi" w:hAnsiTheme="majorBidi" w:cstheme="majorBidi"/>
                          <w:color w:val="002060"/>
                          <w:sz w:val="20"/>
                          <w:szCs w:val="20"/>
                        </w:rPr>
                      </w:pPr>
                      <w:r w:rsidRPr="00196BCA">
                        <w:rPr>
                          <w:rFonts w:asciiTheme="majorBidi" w:hAnsiTheme="majorBidi" w:cstheme="majorBidi"/>
                          <w:color w:val="002060"/>
                          <w:sz w:val="20"/>
                          <w:szCs w:val="20"/>
                        </w:rPr>
                        <w:t>ISSN (Print) 1994-697X</w:t>
                      </w:r>
                    </w:p>
                    <w:p w14:paraId="531485C2" w14:textId="77777777" w:rsidR="004C1FF1" w:rsidRDefault="004C1FF1" w:rsidP="004C1FF1">
                      <w:pPr>
                        <w:pStyle w:val="a6"/>
                        <w:rPr>
                          <w:rFonts w:asciiTheme="majorBidi" w:hAnsiTheme="majorBidi" w:cstheme="majorBidi"/>
                          <w:color w:val="002060"/>
                          <w:sz w:val="20"/>
                          <w:szCs w:val="20"/>
                        </w:rPr>
                      </w:pPr>
                      <w:r w:rsidRPr="00196BCA">
                        <w:rPr>
                          <w:rFonts w:asciiTheme="majorBidi" w:hAnsiTheme="majorBidi" w:cstheme="majorBidi"/>
                          <w:color w:val="002060"/>
                          <w:sz w:val="20"/>
                          <w:szCs w:val="20"/>
                        </w:rPr>
                        <w:t xml:space="preserve">ISSN (Online) 2706-722X </w:t>
                      </w:r>
                    </w:p>
                    <w:p w14:paraId="555C57D7" w14:textId="77777777" w:rsidR="004C1FF1" w:rsidRPr="00196BCA" w:rsidRDefault="004C1FF1" w:rsidP="004C1FF1">
                      <w:pPr>
                        <w:pStyle w:val="a6"/>
                        <w:rPr>
                          <w:rFonts w:asciiTheme="majorBidi" w:hAnsiTheme="majorBidi" w:cstheme="majorBidi"/>
                          <w:color w:val="002060"/>
                          <w:sz w:val="20"/>
                          <w:szCs w:val="20"/>
                        </w:rPr>
                      </w:pPr>
                      <w:r w:rsidRPr="00196BCA">
                        <w:rPr>
                          <w:rFonts w:asciiTheme="majorBidi" w:hAnsiTheme="majorBidi" w:cstheme="majorBidi"/>
                          <w:color w:val="002060"/>
                          <w:sz w:val="20"/>
                          <w:szCs w:val="20"/>
                        </w:rPr>
                        <w:t xml:space="preserve"> </w:t>
                      </w:r>
                    </w:p>
                    <w:p w14:paraId="52A2B051" w14:textId="58D588E2" w:rsidR="004C1FF1" w:rsidRDefault="004C1FF1" w:rsidP="004C1FF1">
                      <w:pPr>
                        <w:tabs>
                          <w:tab w:val="left" w:pos="1257"/>
                          <w:tab w:val="center" w:pos="4393"/>
                        </w:tabs>
                        <w:spacing w:before="240" w:after="0" w:line="240" w:lineRule="auto"/>
                        <w:rPr>
                          <w:rFonts w:ascii="Times New Roman" w:eastAsia="Calibri" w:hAnsi="Times New Roman"/>
                          <w:b/>
                          <w:bCs/>
                          <w:color w:val="000000"/>
                          <w:sz w:val="20"/>
                          <w:szCs w:val="20"/>
                          <w:lang w:bidi="ar-IQ"/>
                        </w:rPr>
                      </w:pPr>
                      <w:proofErr w:type="spellStart"/>
                      <w:r>
                        <w:rPr>
                          <w:rFonts w:ascii="Times New Roman" w:eastAsia="Calibri" w:hAnsi="Times New Roman"/>
                          <w:b/>
                          <w:bCs/>
                          <w:color w:val="000000"/>
                          <w:sz w:val="20"/>
                          <w:szCs w:val="20"/>
                          <w:lang w:bidi="ar-IQ"/>
                        </w:rPr>
                        <w:t>DOI:</w:t>
                      </w:r>
                      <w:hyperlink r:id="rId25" w:history="1">
                        <w:r w:rsidRPr="00442735">
                          <w:rPr>
                            <w:rStyle w:val="Hyperlink"/>
                            <w:rFonts w:ascii="Times New Roman" w:eastAsia="Calibri" w:hAnsi="Times New Roman"/>
                            <w:b/>
                            <w:bCs/>
                            <w:sz w:val="20"/>
                            <w:szCs w:val="20"/>
                            <w:lang w:bidi="ar-IQ"/>
                          </w:rPr>
                          <w:t>https</w:t>
                        </w:r>
                        <w:proofErr w:type="spellEnd"/>
                        <w:r w:rsidRPr="00442735">
                          <w:rPr>
                            <w:rStyle w:val="Hyperlink"/>
                            <w:rFonts w:ascii="Times New Roman" w:eastAsia="Calibri" w:hAnsi="Times New Roman"/>
                            <w:b/>
                            <w:bCs/>
                            <w:sz w:val="20"/>
                            <w:szCs w:val="20"/>
                            <w:lang w:bidi="ar-IQ"/>
                          </w:rPr>
                          <w:t>://doi.org/10.54633/2333-025-059-005</w:t>
                        </w:r>
                      </w:hyperlink>
                    </w:p>
                    <w:p w14:paraId="4652EBC4" w14:textId="77777777" w:rsidR="004C1FF1" w:rsidRDefault="004C1FF1" w:rsidP="004C1FF1">
                      <w:pPr>
                        <w:pStyle w:val="a6"/>
                        <w:rPr>
                          <w:rFonts w:asciiTheme="majorBidi" w:eastAsia="Calibri" w:hAnsiTheme="majorBidi" w:cstheme="majorBidi"/>
                          <w:lang w:bidi="ar-IQ"/>
                        </w:rPr>
                      </w:pPr>
                    </w:p>
                    <w:p w14:paraId="762B9DF5" w14:textId="77777777" w:rsidR="004C1FF1" w:rsidRPr="00B142E0" w:rsidRDefault="004C1FF1" w:rsidP="004C1FF1">
                      <w:pPr>
                        <w:pStyle w:val="a6"/>
                        <w:rPr>
                          <w:rFonts w:asciiTheme="majorBidi" w:eastAsia="Calibri" w:hAnsiTheme="majorBidi" w:cstheme="majorBidi"/>
                          <w:lang w:bidi="ar-IQ"/>
                        </w:rPr>
                      </w:pPr>
                    </w:p>
                    <w:p w14:paraId="0257C575" w14:textId="77777777" w:rsidR="004C1FF1" w:rsidRPr="00B142E0" w:rsidRDefault="004C1FF1" w:rsidP="004C1FF1">
                      <w:pPr>
                        <w:pStyle w:val="a6"/>
                        <w:rPr>
                          <w:rFonts w:asciiTheme="majorBidi" w:eastAsia="Calibri" w:hAnsiTheme="majorBidi" w:cstheme="majorBidi"/>
                          <w:lang w:bidi="ar-IQ"/>
                        </w:rPr>
                      </w:pPr>
                      <w:r w:rsidRPr="00B142E0">
                        <w:rPr>
                          <w:rFonts w:asciiTheme="majorBidi" w:eastAsia="Calibri" w:hAnsiTheme="majorBidi" w:cstheme="majorBidi"/>
                          <w:lang w:bidi="ar-IQ"/>
                        </w:rPr>
                        <w:t>Received:2/June/2026</w:t>
                      </w:r>
                    </w:p>
                    <w:p w14:paraId="7C3EB9F2" w14:textId="77777777" w:rsidR="004C1FF1" w:rsidRDefault="004C1FF1" w:rsidP="004C1FF1">
                      <w:pPr>
                        <w:pStyle w:val="a6"/>
                        <w:rPr>
                          <w:rFonts w:asciiTheme="majorBidi" w:eastAsia="Calibri" w:hAnsiTheme="majorBidi" w:cstheme="majorBidi"/>
                          <w:lang w:bidi="ar-IQ"/>
                        </w:rPr>
                      </w:pPr>
                      <w:r w:rsidRPr="00B142E0">
                        <w:rPr>
                          <w:rFonts w:asciiTheme="majorBidi" w:eastAsia="Calibri" w:hAnsiTheme="majorBidi" w:cstheme="majorBidi"/>
                          <w:lang w:bidi="ar-IQ"/>
                        </w:rPr>
                        <w:t>Accepted:7/Sep/2026</w:t>
                      </w:r>
                    </w:p>
                    <w:p w14:paraId="2CE0D3CD" w14:textId="5AB65E08" w:rsidR="004C1FF1" w:rsidRDefault="004C1FF1" w:rsidP="004C1FF1">
                      <w:pPr>
                        <w:pStyle w:val="a6"/>
                        <w:rPr>
                          <w:rFonts w:asciiTheme="majorBidi" w:eastAsia="Calibri" w:hAnsiTheme="majorBidi" w:cstheme="majorBidi"/>
                          <w:lang w:bidi="ar-IQ"/>
                        </w:rPr>
                      </w:pPr>
                      <w:r w:rsidRPr="004C1FF1">
                        <w:rPr>
                          <w:rFonts w:asciiTheme="majorBidi" w:eastAsia="Calibri" w:hAnsiTheme="majorBidi" w:cstheme="majorBidi"/>
                          <w:lang w:bidi="ar-IQ"/>
                        </w:rPr>
                        <w:t>Published online:30/Sep/2026</w:t>
                      </w:r>
                    </w:p>
                    <w:p w14:paraId="482A192B" w14:textId="77777777" w:rsidR="004C1FF1" w:rsidRDefault="004C1FF1" w:rsidP="004C1FF1">
                      <w:pPr>
                        <w:pStyle w:val="a6"/>
                        <w:rPr>
                          <w:rFonts w:asciiTheme="majorBidi" w:eastAsia="Calibri" w:hAnsiTheme="majorBidi" w:cstheme="majorBidi"/>
                          <w:lang w:bidi="ar-IQ"/>
                        </w:rPr>
                      </w:pPr>
                    </w:p>
                    <w:p w14:paraId="12145B38" w14:textId="77777777" w:rsidR="004C1FF1" w:rsidRPr="0096472F" w:rsidRDefault="004C1FF1" w:rsidP="004C1FF1">
                      <w:pPr>
                        <w:jc w:val="center"/>
                        <w:rPr>
                          <w:color w:val="2F5897"/>
                        </w:rPr>
                      </w:pPr>
                      <w:r>
                        <w:rPr>
                          <w:noProof/>
                          <w:color w:val="2F5897"/>
                          <w:rtl/>
                        </w:rPr>
                        <w:drawing>
                          <wp:inline distT="0" distB="0" distL="0" distR="0" wp14:anchorId="10D554C2" wp14:editId="63215A96">
                            <wp:extent cx="1406769" cy="398585"/>
                            <wp:effectExtent l="0" t="0" r="3175" b="1905"/>
                            <wp:docPr id="7" name="Picture 21" descr="cc_license_spectrum-633x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c_license_spectrum-633x10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08386" cy="399043"/>
                                    </a:xfrm>
                                    <a:prstGeom prst="rect">
                                      <a:avLst/>
                                    </a:prstGeom>
                                    <a:noFill/>
                                    <a:ln>
                                      <a:noFill/>
                                    </a:ln>
                                  </pic:spPr>
                                </pic:pic>
                              </a:graphicData>
                            </a:graphic>
                          </wp:inline>
                        </w:drawing>
                      </w:r>
                    </w:p>
                    <w:p w14:paraId="31FC2998" w14:textId="77777777" w:rsidR="004C1FF1" w:rsidRPr="00D24E47" w:rsidRDefault="004C1FF1" w:rsidP="004C1FF1">
                      <w:pPr>
                        <w:pStyle w:val="a6"/>
                        <w:bidi/>
                        <w:jc w:val="center"/>
                        <w:rPr>
                          <w:rFonts w:asciiTheme="majorBidi" w:hAnsiTheme="majorBidi" w:cstheme="majorBidi"/>
                        </w:rPr>
                      </w:pPr>
                      <w:r w:rsidRPr="00D24E47">
                        <w:rPr>
                          <w:rFonts w:asciiTheme="majorBidi" w:hAnsiTheme="majorBidi" w:cstheme="majorBidi"/>
                        </w:rPr>
                        <w:t>MJAS: Humanities,</w:t>
                      </w:r>
                      <w:r>
                        <w:rPr>
                          <w:rFonts w:asciiTheme="majorBidi" w:hAnsiTheme="majorBidi" w:cstheme="majorBidi"/>
                        </w:rPr>
                        <w:t xml:space="preserve"> </w:t>
                      </w:r>
                      <w:r w:rsidRPr="00D24E47">
                        <w:rPr>
                          <w:rFonts w:asciiTheme="majorBidi" w:hAnsiTheme="majorBidi" w:cstheme="majorBidi"/>
                        </w:rPr>
                        <w:t>Social and</w:t>
                      </w:r>
                      <w:r>
                        <w:rPr>
                          <w:rFonts w:asciiTheme="majorBidi" w:hAnsiTheme="majorBidi" w:cstheme="majorBidi"/>
                        </w:rPr>
                        <w:t xml:space="preserve"> </w:t>
                      </w:r>
                      <w:r w:rsidRPr="00D24E47">
                        <w:rPr>
                          <w:rFonts w:asciiTheme="majorBidi" w:hAnsiTheme="majorBidi" w:cstheme="majorBidi"/>
                        </w:rPr>
                        <w:t>Applied Sciences</w:t>
                      </w:r>
                    </w:p>
                    <w:p w14:paraId="31D4732D" w14:textId="77777777" w:rsidR="004C1FF1" w:rsidRDefault="004C1FF1" w:rsidP="004C1FF1">
                      <w:pPr>
                        <w:pStyle w:val="a6"/>
                        <w:bidi/>
                        <w:jc w:val="center"/>
                        <w:rPr>
                          <w:rFonts w:asciiTheme="majorBidi" w:hAnsiTheme="majorBidi" w:cstheme="majorBidi"/>
                        </w:rPr>
                      </w:pPr>
                      <w:r w:rsidRPr="00D24E47">
                        <w:rPr>
                          <w:rFonts w:asciiTheme="majorBidi" w:hAnsiTheme="majorBidi" w:cstheme="majorBidi"/>
                        </w:rPr>
                        <w:t>Publishers</w:t>
                      </w:r>
                    </w:p>
                    <w:p w14:paraId="3E535FB6" w14:textId="77777777" w:rsidR="004C1FF1" w:rsidRDefault="004C1FF1" w:rsidP="004C1FF1">
                      <w:pPr>
                        <w:pStyle w:val="a6"/>
                        <w:bidi/>
                        <w:jc w:val="center"/>
                      </w:pPr>
                      <w:r w:rsidRPr="00D24E47">
                        <w:rPr>
                          <w:rFonts w:asciiTheme="majorBidi" w:hAnsiTheme="majorBidi" w:cstheme="majorBidi"/>
                        </w:rPr>
                        <w:t xml:space="preserve">The university of </w:t>
                      </w:r>
                      <w:proofErr w:type="spellStart"/>
                      <w:r w:rsidRPr="00D24E47">
                        <w:rPr>
                          <w:rFonts w:asciiTheme="majorBidi" w:hAnsiTheme="majorBidi" w:cstheme="majorBidi"/>
                        </w:rPr>
                        <w:t>Misan</w:t>
                      </w:r>
                      <w:proofErr w:type="spellEnd"/>
                      <w:r w:rsidRPr="00D24E47">
                        <w:rPr>
                          <w:rFonts w:asciiTheme="majorBidi" w:hAnsiTheme="majorBidi" w:cstheme="majorBidi"/>
                        </w:rPr>
                        <w:t>.</w:t>
                      </w:r>
                    </w:p>
                    <w:p w14:paraId="1F8BA535" w14:textId="77777777" w:rsidR="004C1FF1" w:rsidRDefault="004C1FF1" w:rsidP="004C1FF1">
                      <w:pPr>
                        <w:pStyle w:val="a6"/>
                        <w:bidi/>
                        <w:jc w:val="center"/>
                        <w:rPr>
                          <w:rFonts w:asciiTheme="majorBidi" w:hAnsiTheme="majorBidi" w:cstheme="majorBidi"/>
                        </w:rPr>
                      </w:pPr>
                      <w:r w:rsidRPr="00D24E47">
                        <w:rPr>
                          <w:rFonts w:asciiTheme="majorBidi" w:hAnsiTheme="majorBidi" w:cstheme="majorBidi"/>
                        </w:rPr>
                        <w:t>College of Basic</w:t>
                      </w:r>
                      <w:r>
                        <w:rPr>
                          <w:rFonts w:asciiTheme="majorBidi" w:hAnsiTheme="majorBidi" w:cstheme="majorBidi"/>
                        </w:rPr>
                        <w:t xml:space="preserve"> </w:t>
                      </w:r>
                      <w:r w:rsidRPr="00D24E47">
                        <w:rPr>
                          <w:rFonts w:asciiTheme="majorBidi" w:hAnsiTheme="majorBidi" w:cstheme="majorBidi"/>
                        </w:rPr>
                        <w:t>Education This article is an open access article distributed under the</w:t>
                      </w:r>
                      <w:r>
                        <w:rPr>
                          <w:rFonts w:asciiTheme="majorBidi" w:hAnsiTheme="majorBidi" w:cstheme="majorBidi"/>
                        </w:rPr>
                        <w:t xml:space="preserve"> </w:t>
                      </w:r>
                      <w:r w:rsidRPr="00D24E47">
                        <w:rPr>
                          <w:rFonts w:asciiTheme="majorBidi" w:hAnsiTheme="majorBidi" w:cstheme="majorBidi"/>
                        </w:rPr>
                        <w:t>terms and conditions of the Creative Commons Attribution</w:t>
                      </w:r>
                    </w:p>
                    <w:p w14:paraId="4B4D9ECC" w14:textId="77777777" w:rsidR="004C1FF1" w:rsidRDefault="004C1FF1" w:rsidP="004C1FF1">
                      <w:pPr>
                        <w:pStyle w:val="a6"/>
                        <w:rPr>
                          <w:rFonts w:asciiTheme="majorBidi" w:hAnsiTheme="majorBidi" w:cstheme="majorBidi"/>
                        </w:rPr>
                      </w:pPr>
                    </w:p>
                    <w:p w14:paraId="7BD1C8F4" w14:textId="77777777" w:rsidR="004C1FF1" w:rsidRDefault="004C1FF1" w:rsidP="004C1FF1">
                      <w:pPr>
                        <w:pStyle w:val="a6"/>
                        <w:jc w:val="center"/>
                        <w:rPr>
                          <w:rFonts w:asciiTheme="majorBidi" w:hAnsiTheme="majorBidi" w:cstheme="majorBidi"/>
                        </w:rPr>
                      </w:pPr>
                      <w:r w:rsidRPr="00D24E47">
                        <w:rPr>
                          <w:rFonts w:asciiTheme="majorBidi" w:hAnsiTheme="majorBidi" w:cstheme="majorBidi"/>
                        </w:rPr>
                        <w:t>(CC BY NC ND 4.</w:t>
                      </w:r>
                      <w:r>
                        <w:rPr>
                          <w:rFonts w:asciiTheme="majorBidi" w:hAnsiTheme="majorBidi" w:cstheme="majorBidi"/>
                        </w:rPr>
                        <w:t>0)</w:t>
                      </w:r>
                    </w:p>
                    <w:p w14:paraId="3A173878" w14:textId="77777777" w:rsidR="004C1FF1" w:rsidRPr="00DD4C57" w:rsidRDefault="00D34AFE" w:rsidP="004C1FF1">
                      <w:pPr>
                        <w:pStyle w:val="a6"/>
                        <w:jc w:val="center"/>
                        <w:rPr>
                          <w:u w:val="single"/>
                        </w:rPr>
                      </w:pPr>
                      <w:hyperlink r:id="rId27" w:history="1">
                        <w:r w:rsidR="004C1FF1" w:rsidRPr="00DD4C57">
                          <w:rPr>
                            <w:rStyle w:val="Hyperlink"/>
                          </w:rPr>
                          <w:t>https://creativecommons.org/licenses/by-nc-nd/4.0/</w:t>
                        </w:r>
                      </w:hyperlink>
                    </w:p>
                    <w:p w14:paraId="27DE28F0" w14:textId="77777777" w:rsidR="004C1FF1" w:rsidRPr="0096656E" w:rsidRDefault="004C1FF1" w:rsidP="004C1FF1">
                      <w:pPr>
                        <w:pStyle w:val="a6"/>
                      </w:pPr>
                    </w:p>
                  </w:txbxContent>
                </v:textbox>
                <w10:wrap type="square" anchorx="margin" anchory="margin"/>
              </v:rect>
            </w:pict>
          </mc:Fallback>
        </mc:AlternateContent>
      </w:r>
      <w:r w:rsidR="00897EBD" w:rsidRPr="00897EBD">
        <w:rPr>
          <w:rFonts w:ascii="Times New Roman" w:hAnsi="Times New Roman" w:cs="Times New Roman"/>
          <w:b/>
          <w:bCs/>
          <w:sz w:val="26"/>
          <w:szCs w:val="26"/>
          <w:lang w:bidi="ar-IQ"/>
        </w:rPr>
        <w:t>The Representations of the Zionist Soldier in the Collection of Stories "My Short Stories" by Nachum Mendel</w:t>
      </w:r>
    </w:p>
    <w:p w14:paraId="58F4509B" w14:textId="77777777" w:rsidR="00897EBD" w:rsidRDefault="00897EBD" w:rsidP="00897EBD">
      <w:pPr>
        <w:pStyle w:val="a6"/>
        <w:bidi/>
        <w:jc w:val="center"/>
        <w:rPr>
          <w:rFonts w:ascii="Times New Roman" w:hAnsi="Times New Roman" w:cs="Times New Roman"/>
          <w:sz w:val="24"/>
          <w:szCs w:val="24"/>
          <w:lang w:bidi="he-IL"/>
        </w:rPr>
      </w:pPr>
      <w:r>
        <w:rPr>
          <w:rFonts w:ascii="Times New Roman" w:hAnsi="Times New Roman" w:cs="Times New Roman"/>
          <w:sz w:val="24"/>
          <w:szCs w:val="24"/>
          <w:lang w:bidi="he-IL"/>
        </w:rPr>
        <w:t>Ammar Muhammad Hattab</w:t>
      </w:r>
    </w:p>
    <w:p w14:paraId="2FC51D1B" w14:textId="4E713F0F" w:rsidR="00897EBD" w:rsidRDefault="00897EBD" w:rsidP="00897EBD">
      <w:pPr>
        <w:pStyle w:val="a6"/>
        <w:bidi/>
        <w:jc w:val="center"/>
        <w:rPr>
          <w:rFonts w:ascii="Times New Roman" w:hAnsi="Times New Roman" w:cs="Times New Roman"/>
          <w:sz w:val="24"/>
          <w:szCs w:val="24"/>
          <w:lang w:bidi="he-IL"/>
        </w:rPr>
      </w:pPr>
      <w:r>
        <w:rPr>
          <w:rFonts w:ascii="Times New Roman" w:hAnsi="Times New Roman" w:cs="Times New Roman"/>
          <w:sz w:val="24"/>
          <w:szCs w:val="24"/>
          <w:lang w:bidi="he-IL"/>
        </w:rPr>
        <w:t>College of Basic Education, University of Misan</w:t>
      </w:r>
    </w:p>
    <w:p w14:paraId="37FA63A2" w14:textId="77777777" w:rsidR="00897EBD" w:rsidRPr="00C761C8" w:rsidRDefault="00CD17C3" w:rsidP="00897EBD">
      <w:pPr>
        <w:pStyle w:val="a6"/>
        <w:bidi/>
        <w:jc w:val="center"/>
        <w:rPr>
          <w:rStyle w:val="Hyperlink"/>
          <w:rFonts w:ascii="Times New Roman" w:hAnsi="Times New Roman" w:cs="Times New Roman"/>
          <w:b/>
          <w:bCs/>
          <w:color w:val="1F497D"/>
          <w:sz w:val="24"/>
          <w:szCs w:val="24"/>
          <w:u w:val="none"/>
          <w:rtl/>
          <w:lang w:bidi="ar-IQ"/>
        </w:rPr>
      </w:pPr>
      <w:hyperlink r:id="rId28" w:history="1">
        <w:r w:rsidR="00897EBD" w:rsidRPr="00C761C8">
          <w:rPr>
            <w:rStyle w:val="Hyperlink"/>
            <w:rFonts w:ascii="Times New Roman" w:hAnsi="Times New Roman" w:cs="Times New Roman"/>
            <w:b/>
            <w:bCs/>
            <w:color w:val="1F497D"/>
            <w:sz w:val="24"/>
            <w:szCs w:val="24"/>
            <w:u w:val="none"/>
          </w:rPr>
          <w:t>ammar@uomisan.edu.iq</w:t>
        </w:r>
      </w:hyperlink>
    </w:p>
    <w:p w14:paraId="1BCD1AFD" w14:textId="77777777" w:rsidR="00897EBD" w:rsidRPr="00897EBD" w:rsidRDefault="00CD17C3" w:rsidP="00897EBD">
      <w:pPr>
        <w:pStyle w:val="a6"/>
        <w:bidi/>
        <w:jc w:val="center"/>
        <w:rPr>
          <w:rFonts w:ascii="Times New Roman" w:hAnsi="Times New Roman" w:cs="Times New Roman"/>
          <w:color w:val="1F497D"/>
          <w:rtl/>
          <w:lang w:bidi="ar-IQ"/>
        </w:rPr>
      </w:pPr>
      <w:hyperlink r:id="rId29" w:history="1">
        <w:r w:rsidR="00897EBD" w:rsidRPr="00897EBD">
          <w:rPr>
            <w:rStyle w:val="Hyperlink"/>
            <w:rFonts w:ascii="Times New Roman" w:hAnsi="Times New Roman" w:cs="Times New Roman"/>
            <w:b/>
            <w:bCs/>
            <w:color w:val="1F497D"/>
            <w:u w:val="none"/>
          </w:rPr>
          <w:t>https://orcid.org/my-orcid?orcid=0000-0003-3409-0596</w:t>
        </w:r>
      </w:hyperlink>
    </w:p>
    <w:p w14:paraId="26912D49" w14:textId="77777777" w:rsidR="00897EBD" w:rsidRDefault="00897EBD" w:rsidP="00897EBD">
      <w:pPr>
        <w:pStyle w:val="a6"/>
        <w:bidi/>
        <w:jc w:val="both"/>
        <w:rPr>
          <w:rtl/>
          <w:lang w:bidi="ar-IQ"/>
        </w:rPr>
      </w:pPr>
    </w:p>
    <w:p w14:paraId="2A83070A" w14:textId="77777777" w:rsidR="00897EBD" w:rsidRPr="00C94CE6" w:rsidRDefault="00897EBD" w:rsidP="00897EBD">
      <w:pPr>
        <w:pStyle w:val="a6"/>
        <w:jc w:val="both"/>
        <w:rPr>
          <w:rFonts w:ascii="Times New Roman" w:hAnsi="Times New Roman" w:cs="Times New Roman"/>
          <w:b/>
          <w:bCs/>
          <w:sz w:val="24"/>
          <w:szCs w:val="24"/>
          <w:lang w:bidi="he-IL"/>
        </w:rPr>
      </w:pPr>
      <w:r w:rsidRPr="00C94CE6">
        <w:rPr>
          <w:rFonts w:ascii="Times New Roman" w:hAnsi="Times New Roman" w:cs="Times New Roman"/>
          <w:b/>
          <w:bCs/>
          <w:sz w:val="24"/>
          <w:szCs w:val="24"/>
          <w:lang w:bidi="he-IL"/>
        </w:rPr>
        <w:t>Abstract</w:t>
      </w:r>
      <w:r w:rsidRPr="00C94CE6">
        <w:rPr>
          <w:rFonts w:ascii="Times New Roman" w:hAnsi="Times New Roman" w:cs="Times New Roman"/>
          <w:b/>
          <w:bCs/>
          <w:sz w:val="24"/>
          <w:szCs w:val="24"/>
          <w:rtl/>
          <w:lang w:bidi="he-IL"/>
        </w:rPr>
        <w:t>:</w:t>
      </w:r>
    </w:p>
    <w:p w14:paraId="7FB1C2FA" w14:textId="6A16FA63" w:rsidR="00897EBD" w:rsidRDefault="00897EBD" w:rsidP="00897EBD">
      <w:pPr>
        <w:pStyle w:val="a6"/>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  This study analyzes the representations of the Israeli soldier in the collection of short stories "My Short Stories" by Nahum Mandel (2014), using a literary approach that combines narrative and rhetorical analysis with cultural criticism. The study seeks to dismantle the mythical image of the Zionist soldier through various narrative strategies, chief among which: the description of the soldier's body as both aesthetic and tragic, the use of silence as a narrative language that reflects ambiguity and alienation, and the nonlinear temporal structure that turns the soldier into a mere memory</w:t>
      </w:r>
      <w:r>
        <w:rPr>
          <w:rFonts w:ascii="Times New Roman" w:hAnsi="Times New Roman" w:cs="Times New Roman"/>
          <w:sz w:val="24"/>
          <w:szCs w:val="24"/>
          <w:rtl/>
          <w:lang w:bidi="he-IL"/>
        </w:rPr>
        <w:t>.</w:t>
      </w:r>
    </w:p>
    <w:p w14:paraId="6191E170" w14:textId="77777777" w:rsidR="00897EBD" w:rsidRDefault="00897EBD" w:rsidP="00897EBD">
      <w:pPr>
        <w:pStyle w:val="a6"/>
        <w:jc w:val="both"/>
        <w:rPr>
          <w:rFonts w:ascii="Times New Roman" w:hAnsi="Times New Roman" w:cs="Times New Roman"/>
          <w:sz w:val="24"/>
          <w:szCs w:val="24"/>
          <w:lang w:bidi="he-IL"/>
        </w:rPr>
      </w:pPr>
      <w:r>
        <w:rPr>
          <w:rFonts w:ascii="Times New Roman" w:hAnsi="Times New Roman" w:cs="Times New Roman"/>
          <w:sz w:val="24"/>
          <w:szCs w:val="24"/>
          <w:lang w:bidi="he-IL"/>
        </w:rPr>
        <w:t>The study focuses on three main stories: "Jo", which depicts the enigmatic and silent soldier; "Meeting with a Disabled Man", which presents the disabled soldier as a victim of chance and the military system, and "Service on Mount Scopus", which depicts the soldier in his less heroic moments. The study uses theoretical concepts from modern Hebrew literature, such as: bad moral luck, and narrative silence in the literature of the missing soldiers. It also draws on critical readings on representations of war in Israeli literature</w:t>
      </w:r>
      <w:r>
        <w:rPr>
          <w:rFonts w:ascii="Times New Roman" w:hAnsi="Times New Roman" w:cs="Times New Roman"/>
          <w:sz w:val="24"/>
          <w:szCs w:val="24"/>
          <w:rtl/>
          <w:lang w:bidi="he-IL"/>
        </w:rPr>
        <w:t>.</w:t>
      </w:r>
    </w:p>
    <w:p w14:paraId="34825FD4" w14:textId="77777777" w:rsidR="00897EBD" w:rsidRDefault="00897EBD" w:rsidP="00897EBD">
      <w:pPr>
        <w:pStyle w:val="a6"/>
        <w:jc w:val="both"/>
        <w:rPr>
          <w:rFonts w:ascii="Times New Roman" w:hAnsi="Times New Roman" w:cs="Times New Roman"/>
          <w:sz w:val="24"/>
          <w:szCs w:val="24"/>
          <w:lang w:bidi="he-IL"/>
        </w:rPr>
      </w:pPr>
      <w:r>
        <w:rPr>
          <w:rFonts w:ascii="Times New Roman" w:hAnsi="Times New Roman" w:cs="Times New Roman"/>
          <w:sz w:val="24"/>
          <w:szCs w:val="24"/>
          <w:lang w:bidi="he-IL"/>
        </w:rPr>
        <w:t>The study shows that Mandel's stories reshape the image of the Israeli soldier as a fragile person, living in borderline and isolated spaces, suffering physical and psychological traumas, and dealing with open endings that turn him into an existential question without an answer, very far from the official heroic discourse</w:t>
      </w:r>
      <w:r>
        <w:rPr>
          <w:rFonts w:ascii="Times New Roman" w:hAnsi="Times New Roman" w:cs="Times New Roman"/>
          <w:sz w:val="24"/>
          <w:szCs w:val="24"/>
          <w:rtl/>
          <w:lang w:bidi="he-IL"/>
        </w:rPr>
        <w:t>.</w:t>
      </w:r>
    </w:p>
    <w:p w14:paraId="08A30F34" w14:textId="77777777" w:rsidR="00897EBD" w:rsidRDefault="00897EBD" w:rsidP="00897EBD">
      <w:pPr>
        <w:pStyle w:val="a6"/>
        <w:jc w:val="both"/>
        <w:rPr>
          <w:rFonts w:ascii="Times New Roman" w:hAnsi="Times New Roman" w:cs="Times New Roman"/>
          <w:sz w:val="24"/>
          <w:szCs w:val="24"/>
          <w:lang w:bidi="he-IL"/>
        </w:rPr>
      </w:pPr>
      <w:r w:rsidRPr="007D6538">
        <w:rPr>
          <w:rFonts w:ascii="Times New Roman" w:hAnsi="Times New Roman" w:cs="Times New Roman"/>
          <w:b/>
          <w:bCs/>
          <w:sz w:val="24"/>
          <w:szCs w:val="24"/>
          <w:lang w:bidi="he-IL"/>
        </w:rPr>
        <w:t>Keywords:</w:t>
      </w:r>
      <w:r>
        <w:rPr>
          <w:rFonts w:ascii="Times New Roman" w:hAnsi="Times New Roman" w:cs="Times New Roman"/>
          <w:sz w:val="24"/>
          <w:szCs w:val="24"/>
          <w:lang w:bidi="he-IL"/>
        </w:rPr>
        <w:t xml:space="preserve"> Images - Soldier - Zionist - Hebrew Literature</w:t>
      </w:r>
      <w:r>
        <w:rPr>
          <w:rFonts w:ascii="Times New Roman" w:hAnsi="Times New Roman" w:cs="Times New Roman"/>
          <w:sz w:val="24"/>
          <w:szCs w:val="24"/>
          <w:rtl/>
          <w:lang w:bidi="he-IL"/>
        </w:rPr>
        <w:t>.</w:t>
      </w:r>
    </w:p>
    <w:p w14:paraId="1CB730BB" w14:textId="77777777" w:rsidR="002A0EE0" w:rsidRPr="002A0EE0" w:rsidRDefault="002A0EE0" w:rsidP="002A0EE0">
      <w:pPr>
        <w:pStyle w:val="a6"/>
        <w:bidi/>
        <w:jc w:val="both"/>
        <w:rPr>
          <w:rFonts w:ascii="Simplified Arabic" w:hAnsi="Simplified Arabic" w:cs="Simplified Arabic"/>
          <w:sz w:val="24"/>
          <w:szCs w:val="24"/>
          <w:rtl/>
          <w:lang w:bidi="ar-IQ"/>
        </w:rPr>
      </w:pPr>
    </w:p>
    <w:p w14:paraId="3AD528E3" w14:textId="77777777" w:rsidR="002A0EE0" w:rsidRPr="002A0EE0" w:rsidRDefault="002A0EE0" w:rsidP="002A0EE0">
      <w:pPr>
        <w:pStyle w:val="a6"/>
        <w:bidi/>
        <w:jc w:val="center"/>
        <w:rPr>
          <w:rFonts w:ascii="Simplified Arabic" w:hAnsi="Simplified Arabic" w:cs="Simplified Arabic"/>
          <w:b/>
          <w:bCs/>
          <w:sz w:val="24"/>
          <w:szCs w:val="24"/>
          <w:rtl/>
          <w:lang w:bidi="ar-IQ"/>
        </w:rPr>
      </w:pPr>
      <w:r w:rsidRPr="002A0EE0">
        <w:rPr>
          <w:rFonts w:ascii="Simplified Arabic" w:hAnsi="Simplified Arabic" w:cs="Simplified Arabic"/>
          <w:b/>
          <w:bCs/>
          <w:sz w:val="24"/>
          <w:szCs w:val="24"/>
          <w:rtl/>
          <w:lang w:bidi="ar-IQ"/>
        </w:rPr>
        <w:t>تمثُلات الجندي الصهيوني في المجموعة القصصية "قصصي القصيرة" لناحوم مندل</w:t>
      </w:r>
    </w:p>
    <w:p w14:paraId="1E8E53B9" w14:textId="77777777" w:rsidR="002A0EE0" w:rsidRPr="002A0EE0" w:rsidRDefault="002A0EE0" w:rsidP="002A0EE0">
      <w:pPr>
        <w:pStyle w:val="a6"/>
        <w:bidi/>
        <w:jc w:val="center"/>
        <w:rPr>
          <w:rFonts w:ascii="Simplified Arabic" w:hAnsi="Simplified Arabic" w:cs="Simplified Arabic"/>
          <w:sz w:val="24"/>
          <w:szCs w:val="24"/>
          <w:rtl/>
          <w:lang w:bidi="ar-IQ"/>
        </w:rPr>
      </w:pPr>
      <w:r w:rsidRPr="002A0EE0">
        <w:rPr>
          <w:rFonts w:ascii="Simplified Arabic" w:hAnsi="Simplified Arabic" w:cs="Simplified Arabic"/>
          <w:sz w:val="24"/>
          <w:szCs w:val="24"/>
          <w:rtl/>
          <w:lang w:bidi="ar-IQ"/>
        </w:rPr>
        <w:t>عمار محمد حطاب     كلية التربية الاساسية - جامعة ميسان</w:t>
      </w:r>
    </w:p>
    <w:p w14:paraId="552EB014" w14:textId="77777777" w:rsidR="002A0EE0" w:rsidRPr="002A0EE0" w:rsidRDefault="002A0EE0" w:rsidP="002A0EE0">
      <w:pPr>
        <w:pStyle w:val="a6"/>
        <w:bidi/>
        <w:jc w:val="both"/>
        <w:rPr>
          <w:rFonts w:ascii="Simplified Arabic" w:hAnsi="Simplified Arabic" w:cs="Simplified Arabic"/>
          <w:sz w:val="24"/>
          <w:szCs w:val="24"/>
          <w:rtl/>
          <w:lang w:bidi="ar-IQ"/>
        </w:rPr>
      </w:pPr>
      <w:r w:rsidRPr="002A0EE0">
        <w:rPr>
          <w:rFonts w:ascii="Simplified Arabic" w:hAnsi="Simplified Arabic" w:cs="Simplified Arabic"/>
          <w:sz w:val="24"/>
          <w:szCs w:val="24"/>
          <w:rtl/>
          <w:lang w:bidi="ar-IQ"/>
        </w:rPr>
        <w:t>المستخلص</w:t>
      </w:r>
      <w:r w:rsidRPr="002A0EE0">
        <w:rPr>
          <w:rFonts w:ascii="Simplified Arabic" w:hAnsi="Simplified Arabic" w:cs="Simplified Arabic"/>
          <w:sz w:val="24"/>
          <w:szCs w:val="24"/>
          <w:lang w:bidi="ar-IQ"/>
        </w:rPr>
        <w:t>:</w:t>
      </w:r>
    </w:p>
    <w:p w14:paraId="7B25E13A" w14:textId="77777777" w:rsidR="002A0EE0" w:rsidRPr="002A0EE0" w:rsidRDefault="002A0EE0" w:rsidP="002A0EE0">
      <w:pPr>
        <w:pStyle w:val="a6"/>
        <w:bidi/>
        <w:jc w:val="both"/>
        <w:rPr>
          <w:rFonts w:ascii="Simplified Arabic" w:hAnsi="Simplified Arabic" w:cs="Simplified Arabic"/>
          <w:sz w:val="24"/>
          <w:szCs w:val="24"/>
          <w:rtl/>
          <w:lang w:bidi="ar-IQ"/>
        </w:rPr>
      </w:pPr>
      <w:r w:rsidRPr="002A0EE0">
        <w:rPr>
          <w:rFonts w:ascii="Simplified Arabic" w:hAnsi="Simplified Arabic" w:cs="Simplified Arabic"/>
          <w:sz w:val="24"/>
          <w:szCs w:val="24"/>
          <w:lang w:bidi="ar-IQ"/>
        </w:rPr>
        <w:t xml:space="preserve">   </w:t>
      </w:r>
      <w:r w:rsidRPr="002A0EE0">
        <w:rPr>
          <w:rFonts w:ascii="Simplified Arabic" w:hAnsi="Simplified Arabic" w:cs="Simplified Arabic"/>
          <w:sz w:val="24"/>
          <w:szCs w:val="24"/>
          <w:rtl/>
          <w:lang w:bidi="ar-IQ"/>
        </w:rPr>
        <w:t>تتناول هذه الدراسة تحليل تمثلات الجندي الإسرائيلي في المجموعة القصصية "</w:t>
      </w:r>
      <w:r w:rsidRPr="002A0EE0">
        <w:rPr>
          <w:rFonts w:ascii="Times New Roman" w:hAnsi="Times New Roman" w:cs="Times New Roman" w:hint="cs"/>
          <w:sz w:val="24"/>
          <w:szCs w:val="24"/>
          <w:rtl/>
          <w:lang w:bidi="he-IL"/>
        </w:rPr>
        <w:t>סיפורים</w:t>
      </w:r>
      <w:r w:rsidRPr="002A0EE0">
        <w:rPr>
          <w:rFonts w:ascii="Simplified Arabic" w:hAnsi="Simplified Arabic" w:cs="Simplified Arabic"/>
          <w:sz w:val="24"/>
          <w:szCs w:val="24"/>
          <w:rtl/>
          <w:lang w:bidi="he-IL"/>
        </w:rPr>
        <w:t xml:space="preserve"> </w:t>
      </w:r>
      <w:r w:rsidRPr="002A0EE0">
        <w:rPr>
          <w:rFonts w:ascii="Times New Roman" w:hAnsi="Times New Roman" w:cs="Times New Roman" w:hint="cs"/>
          <w:sz w:val="24"/>
          <w:szCs w:val="24"/>
          <w:rtl/>
          <w:lang w:bidi="he-IL"/>
        </w:rPr>
        <w:t>קצרים</w:t>
      </w:r>
      <w:r w:rsidRPr="002A0EE0">
        <w:rPr>
          <w:rFonts w:ascii="Simplified Arabic" w:hAnsi="Simplified Arabic" w:cs="Simplified Arabic"/>
          <w:sz w:val="24"/>
          <w:szCs w:val="24"/>
          <w:rtl/>
          <w:lang w:bidi="he-IL"/>
        </w:rPr>
        <w:t xml:space="preserve"> </w:t>
      </w:r>
      <w:r w:rsidRPr="002A0EE0">
        <w:rPr>
          <w:rFonts w:ascii="Times New Roman" w:hAnsi="Times New Roman" w:cs="Times New Roman" w:hint="cs"/>
          <w:sz w:val="24"/>
          <w:szCs w:val="24"/>
          <w:rtl/>
          <w:lang w:bidi="he-IL"/>
        </w:rPr>
        <w:t>שלי</w:t>
      </w:r>
      <w:r w:rsidRPr="002A0EE0">
        <w:rPr>
          <w:rFonts w:ascii="Simplified Arabic" w:hAnsi="Simplified Arabic" w:cs="Simplified Arabic"/>
          <w:sz w:val="24"/>
          <w:szCs w:val="24"/>
          <w:rtl/>
          <w:lang w:bidi="he-IL"/>
        </w:rPr>
        <w:t>" (</w:t>
      </w:r>
      <w:r w:rsidRPr="002A0EE0">
        <w:rPr>
          <w:rFonts w:ascii="Simplified Arabic" w:hAnsi="Simplified Arabic" w:cs="Simplified Arabic"/>
          <w:sz w:val="24"/>
          <w:szCs w:val="24"/>
          <w:rtl/>
          <w:lang w:bidi="ar-IQ"/>
        </w:rPr>
        <w:t xml:space="preserve">قصصي القصيرة) للكاتب ناحوم ماندل (2014)، من خلال مقاربة أدبية تجمع بين التحليل السردي والبلاغي والنقد الثقافي. تسعى الدراسة إلى تفكيك الصورة الأسطورية للجندي الصهيوني من خلال استراتيجيات سردية متعددة، أبرزها: وصف الجسد الجندي بين الجمالي </w:t>
      </w:r>
      <w:r w:rsidRPr="002A0EE0">
        <w:rPr>
          <w:rFonts w:ascii="Simplified Arabic" w:hAnsi="Simplified Arabic" w:cs="Simplified Arabic"/>
          <w:sz w:val="24"/>
          <w:szCs w:val="24"/>
          <w:rtl/>
          <w:lang w:bidi="ar-IQ"/>
        </w:rPr>
        <w:lastRenderedPageBreak/>
        <w:t>والمأساوي، وتوظيف الصمت كلغة سردية تعكس الغموض والاغتراب، والبناء الزمني غير الخطي الذي يحوّل الجندي إلى أثر في الذاكرة</w:t>
      </w:r>
      <w:r w:rsidRPr="002A0EE0">
        <w:rPr>
          <w:rFonts w:ascii="Simplified Arabic" w:hAnsi="Simplified Arabic" w:cs="Simplified Arabic"/>
          <w:sz w:val="24"/>
          <w:szCs w:val="24"/>
          <w:lang w:bidi="ar-IQ"/>
        </w:rPr>
        <w:t>.</w:t>
      </w:r>
    </w:p>
    <w:p w14:paraId="773E78D6" w14:textId="77777777" w:rsidR="002A0EE0" w:rsidRPr="002A0EE0" w:rsidRDefault="002A0EE0" w:rsidP="002A0EE0">
      <w:pPr>
        <w:pStyle w:val="a6"/>
        <w:bidi/>
        <w:jc w:val="both"/>
        <w:rPr>
          <w:rFonts w:ascii="Simplified Arabic" w:hAnsi="Simplified Arabic" w:cs="Simplified Arabic"/>
          <w:sz w:val="24"/>
          <w:szCs w:val="24"/>
          <w:rtl/>
          <w:lang w:bidi="ar-IQ"/>
        </w:rPr>
      </w:pPr>
      <w:r w:rsidRPr="002A0EE0">
        <w:rPr>
          <w:rFonts w:ascii="Simplified Arabic" w:hAnsi="Simplified Arabic" w:cs="Simplified Arabic"/>
          <w:sz w:val="24"/>
          <w:szCs w:val="24"/>
          <w:rtl/>
          <w:lang w:bidi="ar-IQ"/>
        </w:rPr>
        <w:t>تركز الدراسة على ثلاث قصص رئيسية: "جو" التي تصوّر الجندي الغامض الصامت، و"</w:t>
      </w:r>
      <w:r w:rsidRPr="002A0EE0">
        <w:rPr>
          <w:rFonts w:ascii="Times New Roman" w:hAnsi="Times New Roman" w:cs="Times New Roman" w:hint="cs"/>
          <w:sz w:val="24"/>
          <w:szCs w:val="24"/>
          <w:rtl/>
          <w:lang w:bidi="he-IL"/>
        </w:rPr>
        <w:t>פגישה</w:t>
      </w:r>
      <w:r w:rsidRPr="002A0EE0">
        <w:rPr>
          <w:rFonts w:ascii="Simplified Arabic" w:hAnsi="Simplified Arabic" w:cs="Simplified Arabic"/>
          <w:sz w:val="24"/>
          <w:szCs w:val="24"/>
          <w:rtl/>
          <w:lang w:bidi="he-IL"/>
        </w:rPr>
        <w:t xml:space="preserve"> </w:t>
      </w:r>
      <w:r w:rsidRPr="002A0EE0">
        <w:rPr>
          <w:rFonts w:ascii="Times New Roman" w:hAnsi="Times New Roman" w:cs="Times New Roman" w:hint="cs"/>
          <w:sz w:val="24"/>
          <w:szCs w:val="24"/>
          <w:rtl/>
          <w:lang w:bidi="he-IL"/>
        </w:rPr>
        <w:t>עם</w:t>
      </w:r>
      <w:r w:rsidRPr="002A0EE0">
        <w:rPr>
          <w:rFonts w:ascii="Simplified Arabic" w:hAnsi="Simplified Arabic" w:cs="Simplified Arabic"/>
          <w:sz w:val="24"/>
          <w:szCs w:val="24"/>
          <w:rtl/>
          <w:lang w:bidi="he-IL"/>
        </w:rPr>
        <w:t xml:space="preserve"> </w:t>
      </w:r>
      <w:r w:rsidRPr="002A0EE0">
        <w:rPr>
          <w:rFonts w:ascii="Times New Roman" w:hAnsi="Times New Roman" w:cs="Times New Roman" w:hint="cs"/>
          <w:sz w:val="24"/>
          <w:szCs w:val="24"/>
          <w:rtl/>
          <w:lang w:bidi="he-IL"/>
        </w:rPr>
        <w:t>נכה</w:t>
      </w:r>
      <w:r w:rsidRPr="002A0EE0">
        <w:rPr>
          <w:rFonts w:ascii="Simplified Arabic" w:hAnsi="Simplified Arabic" w:cs="Simplified Arabic"/>
          <w:sz w:val="24"/>
          <w:szCs w:val="24"/>
          <w:rtl/>
          <w:lang w:bidi="he-IL"/>
        </w:rPr>
        <w:t>" (</w:t>
      </w:r>
      <w:r w:rsidRPr="002A0EE0">
        <w:rPr>
          <w:rFonts w:ascii="Simplified Arabic" w:hAnsi="Simplified Arabic" w:cs="Simplified Arabic"/>
          <w:sz w:val="24"/>
          <w:szCs w:val="24"/>
          <w:rtl/>
          <w:lang w:bidi="ar-IQ"/>
        </w:rPr>
        <w:t>لقاء مع معاق) التي تقدّم الجندي المعاق كضحية للصدفة والنظام العسكري، و"</w:t>
      </w:r>
      <w:r w:rsidRPr="002A0EE0">
        <w:rPr>
          <w:rFonts w:ascii="Times New Roman" w:hAnsi="Times New Roman" w:cs="Times New Roman" w:hint="cs"/>
          <w:sz w:val="24"/>
          <w:szCs w:val="24"/>
          <w:rtl/>
          <w:lang w:bidi="he-IL"/>
        </w:rPr>
        <w:t>שרות</w:t>
      </w:r>
      <w:r w:rsidRPr="002A0EE0">
        <w:rPr>
          <w:rFonts w:ascii="Simplified Arabic" w:hAnsi="Simplified Arabic" w:cs="Simplified Arabic"/>
          <w:sz w:val="24"/>
          <w:szCs w:val="24"/>
          <w:rtl/>
          <w:lang w:bidi="he-IL"/>
        </w:rPr>
        <w:t xml:space="preserve"> </w:t>
      </w:r>
      <w:r w:rsidRPr="002A0EE0">
        <w:rPr>
          <w:rFonts w:ascii="Times New Roman" w:hAnsi="Times New Roman" w:cs="Times New Roman" w:hint="cs"/>
          <w:sz w:val="24"/>
          <w:szCs w:val="24"/>
          <w:rtl/>
          <w:lang w:bidi="he-IL"/>
        </w:rPr>
        <w:t>בהר</w:t>
      </w:r>
      <w:r w:rsidRPr="002A0EE0">
        <w:rPr>
          <w:rFonts w:ascii="Simplified Arabic" w:hAnsi="Simplified Arabic" w:cs="Simplified Arabic"/>
          <w:sz w:val="24"/>
          <w:szCs w:val="24"/>
          <w:rtl/>
          <w:lang w:bidi="he-IL"/>
        </w:rPr>
        <w:t xml:space="preserve"> </w:t>
      </w:r>
      <w:r w:rsidRPr="002A0EE0">
        <w:rPr>
          <w:rFonts w:ascii="Times New Roman" w:hAnsi="Times New Roman" w:cs="Times New Roman" w:hint="cs"/>
          <w:sz w:val="24"/>
          <w:szCs w:val="24"/>
          <w:rtl/>
          <w:lang w:bidi="he-IL"/>
        </w:rPr>
        <w:t>הצופים</w:t>
      </w:r>
      <w:r w:rsidRPr="002A0EE0">
        <w:rPr>
          <w:rFonts w:ascii="Simplified Arabic" w:hAnsi="Simplified Arabic" w:cs="Simplified Arabic"/>
          <w:sz w:val="24"/>
          <w:szCs w:val="24"/>
          <w:rtl/>
          <w:lang w:bidi="he-IL"/>
        </w:rPr>
        <w:t>" (</w:t>
      </w:r>
      <w:r w:rsidRPr="002A0EE0">
        <w:rPr>
          <w:rFonts w:ascii="Simplified Arabic" w:hAnsi="Simplified Arabic" w:cs="Simplified Arabic"/>
          <w:sz w:val="24"/>
          <w:szCs w:val="24"/>
          <w:rtl/>
          <w:lang w:bidi="ar-IQ"/>
        </w:rPr>
        <w:t>خدمتي في جبل المشارف) التي تُظهر الجندي في لحظاته غير البطولية. توظف الدراسة مفاهيم نظرية من الأدب العبري الحديث، مثل الحظ الأخلاقي السيئ  والصمت السردي في أدب الجنود المفقودين . كما تعتمد على قراءات نقدية حول تمثيلات الحرب في الأدب الإسرائيلي</w:t>
      </w:r>
      <w:r w:rsidRPr="002A0EE0">
        <w:rPr>
          <w:rFonts w:ascii="Simplified Arabic" w:hAnsi="Simplified Arabic" w:cs="Simplified Arabic"/>
          <w:sz w:val="24"/>
          <w:szCs w:val="24"/>
          <w:lang w:bidi="ar-IQ"/>
        </w:rPr>
        <w:t>.</w:t>
      </w:r>
    </w:p>
    <w:p w14:paraId="32AE92DE" w14:textId="77777777" w:rsidR="002A0EE0" w:rsidRPr="002A0EE0" w:rsidRDefault="002A0EE0" w:rsidP="002A0EE0">
      <w:pPr>
        <w:pStyle w:val="a6"/>
        <w:bidi/>
        <w:jc w:val="both"/>
        <w:rPr>
          <w:rFonts w:ascii="Simplified Arabic" w:hAnsi="Simplified Arabic" w:cs="Simplified Arabic"/>
          <w:sz w:val="24"/>
          <w:szCs w:val="24"/>
          <w:rtl/>
          <w:lang w:bidi="ar-IQ"/>
        </w:rPr>
      </w:pPr>
      <w:r w:rsidRPr="002A0EE0">
        <w:rPr>
          <w:rFonts w:ascii="Simplified Arabic" w:hAnsi="Simplified Arabic" w:cs="Simplified Arabic"/>
          <w:sz w:val="24"/>
          <w:szCs w:val="24"/>
          <w:rtl/>
          <w:lang w:bidi="ar-IQ"/>
        </w:rPr>
        <w:t>تُظهر الدراسة أن قصص ماندل تُعيد تشكيل صورة الجندي الإسرائيلي كإنسان هش، يعيش في فضاءات حدودية ومعزولة، ويعاني من صدمات جسدية ونفسية، ويواجه النهايات المفتوحة التي تحوّله إلى سؤال وجودي لا إجابة له، بعيداً عن الخطاب البطولي الرسمي</w:t>
      </w:r>
      <w:r w:rsidRPr="002A0EE0">
        <w:rPr>
          <w:rFonts w:ascii="Simplified Arabic" w:hAnsi="Simplified Arabic" w:cs="Simplified Arabic"/>
          <w:sz w:val="24"/>
          <w:szCs w:val="24"/>
          <w:lang w:bidi="ar-IQ"/>
        </w:rPr>
        <w:t>.</w:t>
      </w:r>
    </w:p>
    <w:p w14:paraId="52A98CBE" w14:textId="6E45227E" w:rsidR="00897EBD" w:rsidRDefault="002A0EE0" w:rsidP="002A0EE0">
      <w:pPr>
        <w:tabs>
          <w:tab w:val="left" w:pos="5190"/>
        </w:tabs>
        <w:bidi/>
        <w:rPr>
          <w:rFonts w:cs="DecoType Thuluth"/>
          <w:sz w:val="28"/>
          <w:szCs w:val="28"/>
          <w:lang w:bidi="ar-IQ"/>
        </w:rPr>
      </w:pPr>
      <w:r w:rsidRPr="002A0EE0">
        <w:rPr>
          <w:rFonts w:ascii="Simplified Arabic" w:hAnsi="Simplified Arabic" w:cs="Simplified Arabic" w:hint="cs"/>
          <w:sz w:val="24"/>
          <w:szCs w:val="24"/>
          <w:rtl/>
          <w:lang w:bidi="ar-IQ"/>
        </w:rPr>
        <w:t>الكلمات</w:t>
      </w:r>
      <w:r w:rsidRPr="002A0EE0">
        <w:rPr>
          <w:rFonts w:ascii="Simplified Arabic" w:hAnsi="Simplified Arabic" w:cs="Simplified Arabic"/>
          <w:sz w:val="24"/>
          <w:szCs w:val="24"/>
          <w:rtl/>
          <w:lang w:bidi="ar-IQ"/>
        </w:rPr>
        <w:t xml:space="preserve"> </w:t>
      </w:r>
      <w:r w:rsidRPr="002A0EE0">
        <w:rPr>
          <w:rFonts w:ascii="Simplified Arabic" w:hAnsi="Simplified Arabic" w:cs="Simplified Arabic" w:hint="cs"/>
          <w:sz w:val="24"/>
          <w:szCs w:val="24"/>
          <w:rtl/>
          <w:lang w:bidi="ar-IQ"/>
        </w:rPr>
        <w:t>المفتاحية</w:t>
      </w:r>
      <w:r w:rsidRPr="002A0EE0">
        <w:rPr>
          <w:rFonts w:ascii="Simplified Arabic" w:hAnsi="Simplified Arabic" w:cs="Simplified Arabic"/>
          <w:sz w:val="24"/>
          <w:szCs w:val="24"/>
          <w:rtl/>
          <w:lang w:bidi="ar-IQ"/>
        </w:rPr>
        <w:t xml:space="preserve">: </w:t>
      </w:r>
      <w:r w:rsidRPr="002A0EE0">
        <w:rPr>
          <w:rFonts w:ascii="Simplified Arabic" w:hAnsi="Simplified Arabic" w:cs="Simplified Arabic" w:hint="cs"/>
          <w:sz w:val="24"/>
          <w:szCs w:val="24"/>
          <w:rtl/>
          <w:lang w:bidi="ar-IQ"/>
        </w:rPr>
        <w:t>صور</w:t>
      </w:r>
      <w:r w:rsidRPr="002A0EE0">
        <w:rPr>
          <w:rFonts w:ascii="Simplified Arabic" w:hAnsi="Simplified Arabic" w:cs="Simplified Arabic"/>
          <w:sz w:val="24"/>
          <w:szCs w:val="24"/>
          <w:rtl/>
          <w:lang w:bidi="ar-IQ"/>
        </w:rPr>
        <w:t xml:space="preserve">- </w:t>
      </w:r>
      <w:r w:rsidRPr="002A0EE0">
        <w:rPr>
          <w:rFonts w:ascii="Simplified Arabic" w:hAnsi="Simplified Arabic" w:cs="Simplified Arabic" w:hint="cs"/>
          <w:sz w:val="24"/>
          <w:szCs w:val="24"/>
          <w:rtl/>
          <w:lang w:bidi="ar-IQ"/>
        </w:rPr>
        <w:t>الجندي</w:t>
      </w:r>
      <w:r w:rsidRPr="002A0EE0">
        <w:rPr>
          <w:rFonts w:ascii="Simplified Arabic" w:hAnsi="Simplified Arabic" w:cs="Simplified Arabic"/>
          <w:sz w:val="24"/>
          <w:szCs w:val="24"/>
          <w:rtl/>
          <w:lang w:bidi="ar-IQ"/>
        </w:rPr>
        <w:t xml:space="preserve">- </w:t>
      </w:r>
      <w:r w:rsidRPr="002A0EE0">
        <w:rPr>
          <w:rFonts w:ascii="Simplified Arabic" w:hAnsi="Simplified Arabic" w:cs="Simplified Arabic" w:hint="cs"/>
          <w:sz w:val="24"/>
          <w:szCs w:val="24"/>
          <w:rtl/>
          <w:lang w:bidi="ar-IQ"/>
        </w:rPr>
        <w:t>الصهيوني</w:t>
      </w:r>
      <w:r w:rsidRPr="002A0EE0">
        <w:rPr>
          <w:rFonts w:ascii="Simplified Arabic" w:hAnsi="Simplified Arabic" w:cs="Simplified Arabic"/>
          <w:sz w:val="24"/>
          <w:szCs w:val="24"/>
          <w:rtl/>
          <w:lang w:bidi="ar-IQ"/>
        </w:rPr>
        <w:t xml:space="preserve">- </w:t>
      </w:r>
      <w:r w:rsidRPr="002A0EE0">
        <w:rPr>
          <w:rFonts w:ascii="Simplified Arabic" w:hAnsi="Simplified Arabic" w:cs="Simplified Arabic" w:hint="cs"/>
          <w:sz w:val="24"/>
          <w:szCs w:val="24"/>
          <w:rtl/>
          <w:lang w:bidi="ar-IQ"/>
        </w:rPr>
        <w:t>الادب</w:t>
      </w:r>
      <w:r w:rsidRPr="002A0EE0">
        <w:rPr>
          <w:rFonts w:ascii="Simplified Arabic" w:hAnsi="Simplified Arabic" w:cs="Simplified Arabic"/>
          <w:sz w:val="24"/>
          <w:szCs w:val="24"/>
          <w:rtl/>
          <w:lang w:bidi="ar-IQ"/>
        </w:rPr>
        <w:t xml:space="preserve"> </w:t>
      </w:r>
      <w:r w:rsidRPr="002A0EE0">
        <w:rPr>
          <w:rFonts w:ascii="Simplified Arabic" w:hAnsi="Simplified Arabic" w:cs="Simplified Arabic" w:hint="cs"/>
          <w:sz w:val="24"/>
          <w:szCs w:val="24"/>
          <w:rtl/>
          <w:lang w:bidi="ar-IQ"/>
        </w:rPr>
        <w:t>العبري</w:t>
      </w:r>
      <w:r w:rsidRPr="002A0EE0">
        <w:rPr>
          <w:rFonts w:ascii="Simplified Arabic" w:hAnsi="Simplified Arabic" w:cs="Simplified Arabic"/>
          <w:sz w:val="24"/>
          <w:szCs w:val="24"/>
          <w:rtl/>
          <w:lang w:bidi="ar-IQ"/>
        </w:rPr>
        <w:t>.</w:t>
      </w:r>
    </w:p>
    <w:p w14:paraId="7121C273" w14:textId="77777777" w:rsidR="002A0EE0" w:rsidRPr="002A0EE0" w:rsidRDefault="002A0EE0" w:rsidP="002A0EE0">
      <w:pPr>
        <w:tabs>
          <w:tab w:val="left" w:pos="5190"/>
        </w:tabs>
        <w:rPr>
          <w:rFonts w:cs="DecoType Thuluth"/>
          <w:b/>
          <w:bCs/>
          <w:sz w:val="28"/>
          <w:szCs w:val="28"/>
          <w:lang w:bidi="ar-IQ"/>
        </w:rPr>
      </w:pPr>
      <w:r w:rsidRPr="002A0EE0">
        <w:rPr>
          <w:rFonts w:cs="Times New Roman" w:hint="cs"/>
          <w:b/>
          <w:bCs/>
          <w:sz w:val="28"/>
          <w:szCs w:val="28"/>
          <w:rtl/>
          <w:lang w:bidi="he-IL"/>
        </w:rPr>
        <w:t>הייצוגיים</w:t>
      </w:r>
      <w:r w:rsidRPr="002A0EE0">
        <w:rPr>
          <w:rFonts w:cs="Times New Roman"/>
          <w:b/>
          <w:bCs/>
          <w:sz w:val="28"/>
          <w:szCs w:val="28"/>
          <w:rtl/>
          <w:lang w:bidi="he-IL"/>
        </w:rPr>
        <w:t xml:space="preserve"> </w:t>
      </w:r>
      <w:r w:rsidRPr="002A0EE0">
        <w:rPr>
          <w:rFonts w:cs="Times New Roman" w:hint="cs"/>
          <w:b/>
          <w:bCs/>
          <w:sz w:val="28"/>
          <w:szCs w:val="28"/>
          <w:rtl/>
          <w:lang w:bidi="he-IL"/>
        </w:rPr>
        <w:t>של</w:t>
      </w:r>
      <w:r w:rsidRPr="002A0EE0">
        <w:rPr>
          <w:rFonts w:cs="Times New Roman"/>
          <w:b/>
          <w:bCs/>
          <w:sz w:val="28"/>
          <w:szCs w:val="28"/>
          <w:rtl/>
          <w:lang w:bidi="he-IL"/>
        </w:rPr>
        <w:t xml:space="preserve"> </w:t>
      </w:r>
      <w:r w:rsidRPr="002A0EE0">
        <w:rPr>
          <w:rFonts w:cs="Times New Roman" w:hint="cs"/>
          <w:b/>
          <w:bCs/>
          <w:sz w:val="28"/>
          <w:szCs w:val="28"/>
          <w:rtl/>
          <w:lang w:bidi="he-IL"/>
        </w:rPr>
        <w:t>החייל</w:t>
      </w:r>
      <w:r w:rsidRPr="002A0EE0">
        <w:rPr>
          <w:rFonts w:cs="Times New Roman"/>
          <w:b/>
          <w:bCs/>
          <w:sz w:val="28"/>
          <w:szCs w:val="28"/>
          <w:rtl/>
          <w:lang w:bidi="he-IL"/>
        </w:rPr>
        <w:t xml:space="preserve"> </w:t>
      </w:r>
      <w:r w:rsidRPr="002A0EE0">
        <w:rPr>
          <w:rFonts w:cs="Times New Roman" w:hint="cs"/>
          <w:b/>
          <w:bCs/>
          <w:sz w:val="28"/>
          <w:szCs w:val="28"/>
          <w:rtl/>
          <w:lang w:bidi="he-IL"/>
        </w:rPr>
        <w:t>הציוני</w:t>
      </w:r>
      <w:r w:rsidRPr="002A0EE0">
        <w:rPr>
          <w:rFonts w:cs="Times New Roman"/>
          <w:b/>
          <w:bCs/>
          <w:sz w:val="28"/>
          <w:szCs w:val="28"/>
          <w:rtl/>
          <w:lang w:bidi="he-IL"/>
        </w:rPr>
        <w:t xml:space="preserve"> </w:t>
      </w:r>
      <w:r w:rsidRPr="002A0EE0">
        <w:rPr>
          <w:rFonts w:cs="Times New Roman" w:hint="cs"/>
          <w:b/>
          <w:bCs/>
          <w:sz w:val="28"/>
          <w:szCs w:val="28"/>
          <w:rtl/>
          <w:lang w:bidi="he-IL"/>
        </w:rPr>
        <w:t>בקובץ</w:t>
      </w:r>
      <w:r w:rsidRPr="002A0EE0">
        <w:rPr>
          <w:rFonts w:cs="Times New Roman"/>
          <w:b/>
          <w:bCs/>
          <w:sz w:val="28"/>
          <w:szCs w:val="28"/>
          <w:rtl/>
          <w:lang w:bidi="he-IL"/>
        </w:rPr>
        <w:t xml:space="preserve"> </w:t>
      </w:r>
      <w:r w:rsidRPr="002A0EE0">
        <w:rPr>
          <w:rFonts w:cs="Times New Roman" w:hint="cs"/>
          <w:b/>
          <w:bCs/>
          <w:sz w:val="28"/>
          <w:szCs w:val="28"/>
          <w:rtl/>
          <w:lang w:bidi="he-IL"/>
        </w:rPr>
        <w:t>הסיפורים</w:t>
      </w:r>
      <w:r w:rsidRPr="002A0EE0">
        <w:rPr>
          <w:rFonts w:cs="Times New Roman"/>
          <w:b/>
          <w:bCs/>
          <w:sz w:val="28"/>
          <w:szCs w:val="28"/>
          <w:rtl/>
          <w:lang w:bidi="he-IL"/>
        </w:rPr>
        <w:t xml:space="preserve"> "</w:t>
      </w:r>
      <w:r w:rsidRPr="002A0EE0">
        <w:rPr>
          <w:rFonts w:cs="Times New Roman" w:hint="cs"/>
          <w:b/>
          <w:bCs/>
          <w:sz w:val="28"/>
          <w:szCs w:val="28"/>
          <w:rtl/>
          <w:lang w:bidi="he-IL"/>
        </w:rPr>
        <w:t>הסיפורים</w:t>
      </w:r>
      <w:r w:rsidRPr="002A0EE0">
        <w:rPr>
          <w:rFonts w:cs="Times New Roman"/>
          <w:b/>
          <w:bCs/>
          <w:sz w:val="28"/>
          <w:szCs w:val="28"/>
          <w:rtl/>
          <w:lang w:bidi="he-IL"/>
        </w:rPr>
        <w:t xml:space="preserve"> </w:t>
      </w:r>
      <w:r w:rsidRPr="002A0EE0">
        <w:rPr>
          <w:rFonts w:cs="Times New Roman" w:hint="cs"/>
          <w:b/>
          <w:bCs/>
          <w:sz w:val="28"/>
          <w:szCs w:val="28"/>
          <w:rtl/>
          <w:lang w:bidi="he-IL"/>
        </w:rPr>
        <w:t>הקצרים</w:t>
      </w:r>
      <w:r w:rsidRPr="002A0EE0">
        <w:rPr>
          <w:rFonts w:cs="Times New Roman"/>
          <w:b/>
          <w:bCs/>
          <w:sz w:val="28"/>
          <w:szCs w:val="28"/>
          <w:rtl/>
          <w:lang w:bidi="he-IL"/>
        </w:rPr>
        <w:t xml:space="preserve"> </w:t>
      </w:r>
      <w:r w:rsidRPr="002A0EE0">
        <w:rPr>
          <w:rFonts w:cs="Times New Roman" w:hint="cs"/>
          <w:b/>
          <w:bCs/>
          <w:sz w:val="28"/>
          <w:szCs w:val="28"/>
          <w:rtl/>
          <w:lang w:bidi="he-IL"/>
        </w:rPr>
        <w:t>שלי</w:t>
      </w:r>
      <w:r w:rsidRPr="002A0EE0">
        <w:rPr>
          <w:rFonts w:cs="Times New Roman"/>
          <w:b/>
          <w:bCs/>
          <w:sz w:val="28"/>
          <w:szCs w:val="28"/>
          <w:rtl/>
          <w:lang w:bidi="he-IL"/>
        </w:rPr>
        <w:t xml:space="preserve">" </w:t>
      </w:r>
      <w:r w:rsidRPr="002A0EE0">
        <w:rPr>
          <w:rFonts w:cs="Times New Roman" w:hint="cs"/>
          <w:b/>
          <w:bCs/>
          <w:sz w:val="28"/>
          <w:szCs w:val="28"/>
          <w:rtl/>
          <w:lang w:bidi="he-IL"/>
        </w:rPr>
        <w:t>של</w:t>
      </w:r>
      <w:r w:rsidRPr="002A0EE0">
        <w:rPr>
          <w:rFonts w:cs="Times New Roman"/>
          <w:b/>
          <w:bCs/>
          <w:sz w:val="28"/>
          <w:szCs w:val="28"/>
          <w:rtl/>
          <w:lang w:bidi="he-IL"/>
        </w:rPr>
        <w:t xml:space="preserve"> </w:t>
      </w:r>
      <w:r w:rsidRPr="002A0EE0">
        <w:rPr>
          <w:rFonts w:cs="Times New Roman" w:hint="cs"/>
          <w:b/>
          <w:bCs/>
          <w:sz w:val="28"/>
          <w:szCs w:val="28"/>
          <w:rtl/>
          <w:lang w:bidi="he-IL"/>
        </w:rPr>
        <w:t>נחום</w:t>
      </w:r>
      <w:r w:rsidRPr="002A0EE0">
        <w:rPr>
          <w:rFonts w:cs="Times New Roman"/>
          <w:b/>
          <w:bCs/>
          <w:sz w:val="28"/>
          <w:szCs w:val="28"/>
          <w:rtl/>
          <w:lang w:bidi="he-IL"/>
        </w:rPr>
        <w:t xml:space="preserve"> </w:t>
      </w:r>
      <w:r w:rsidRPr="002A0EE0">
        <w:rPr>
          <w:rFonts w:cs="Times New Roman" w:hint="cs"/>
          <w:b/>
          <w:bCs/>
          <w:sz w:val="28"/>
          <w:szCs w:val="28"/>
          <w:rtl/>
          <w:lang w:bidi="he-IL"/>
        </w:rPr>
        <w:t>מנדל</w:t>
      </w:r>
    </w:p>
    <w:p w14:paraId="372D971C" w14:textId="77777777" w:rsidR="002A0EE0" w:rsidRPr="002A0EE0" w:rsidRDefault="002A0EE0" w:rsidP="002A0EE0">
      <w:pPr>
        <w:pStyle w:val="a6"/>
        <w:jc w:val="center"/>
        <w:rPr>
          <w:rFonts w:cs="DecoType Thuluth"/>
          <w:rtl/>
          <w:lang w:bidi="ar-IQ"/>
        </w:rPr>
      </w:pPr>
      <w:r w:rsidRPr="002A0EE0">
        <w:rPr>
          <w:rFonts w:hint="cs"/>
          <w:rtl/>
          <w:lang w:bidi="he-IL"/>
        </w:rPr>
        <w:t>עמאר</w:t>
      </w:r>
      <w:r w:rsidRPr="002A0EE0">
        <w:rPr>
          <w:rtl/>
          <w:lang w:bidi="he-IL"/>
        </w:rPr>
        <w:t xml:space="preserve"> </w:t>
      </w:r>
      <w:r w:rsidRPr="002A0EE0">
        <w:rPr>
          <w:rFonts w:hint="cs"/>
          <w:rtl/>
          <w:lang w:bidi="he-IL"/>
        </w:rPr>
        <w:t>מוחמד</w:t>
      </w:r>
      <w:r w:rsidRPr="002A0EE0">
        <w:rPr>
          <w:rtl/>
          <w:lang w:bidi="he-IL"/>
        </w:rPr>
        <w:t xml:space="preserve"> </w:t>
      </w:r>
      <w:r w:rsidRPr="002A0EE0">
        <w:rPr>
          <w:rFonts w:hint="cs"/>
          <w:rtl/>
          <w:lang w:bidi="he-IL"/>
        </w:rPr>
        <w:t>חטאב</w:t>
      </w:r>
    </w:p>
    <w:p w14:paraId="6B0AE536" w14:textId="77777777" w:rsidR="002A0EE0" w:rsidRPr="002A0EE0" w:rsidRDefault="002A0EE0" w:rsidP="002A0EE0">
      <w:pPr>
        <w:pStyle w:val="a6"/>
        <w:jc w:val="center"/>
        <w:rPr>
          <w:rFonts w:cs="DecoType Thuluth"/>
          <w:rtl/>
          <w:lang w:bidi="ar-IQ"/>
        </w:rPr>
      </w:pPr>
      <w:r w:rsidRPr="002A0EE0">
        <w:rPr>
          <w:rFonts w:hint="cs"/>
          <w:rtl/>
          <w:lang w:bidi="he-IL"/>
        </w:rPr>
        <w:t>המכללה</w:t>
      </w:r>
      <w:r w:rsidRPr="002A0EE0">
        <w:rPr>
          <w:rtl/>
          <w:lang w:bidi="he-IL"/>
        </w:rPr>
        <w:t xml:space="preserve"> </w:t>
      </w:r>
      <w:r w:rsidRPr="002A0EE0">
        <w:rPr>
          <w:rFonts w:hint="cs"/>
          <w:rtl/>
          <w:lang w:bidi="he-IL"/>
        </w:rPr>
        <w:t>לחינוך</w:t>
      </w:r>
      <w:r w:rsidRPr="002A0EE0">
        <w:rPr>
          <w:rtl/>
          <w:lang w:bidi="he-IL"/>
        </w:rPr>
        <w:t xml:space="preserve"> </w:t>
      </w:r>
      <w:r w:rsidRPr="002A0EE0">
        <w:rPr>
          <w:rFonts w:hint="cs"/>
          <w:rtl/>
          <w:lang w:bidi="he-IL"/>
        </w:rPr>
        <w:t>בסיסי</w:t>
      </w:r>
    </w:p>
    <w:p w14:paraId="1C0832DE" w14:textId="77777777" w:rsidR="002A0EE0" w:rsidRPr="002A0EE0" w:rsidRDefault="002A0EE0" w:rsidP="002A0EE0">
      <w:pPr>
        <w:pStyle w:val="a6"/>
        <w:jc w:val="center"/>
        <w:rPr>
          <w:rFonts w:cs="DecoType Thuluth"/>
          <w:rtl/>
          <w:lang w:bidi="ar-IQ"/>
        </w:rPr>
      </w:pPr>
      <w:r w:rsidRPr="002A0EE0">
        <w:rPr>
          <w:rFonts w:hint="cs"/>
          <w:rtl/>
          <w:lang w:bidi="he-IL"/>
        </w:rPr>
        <w:t>אוניברסיטת</w:t>
      </w:r>
      <w:r w:rsidRPr="002A0EE0">
        <w:rPr>
          <w:rtl/>
          <w:lang w:bidi="he-IL"/>
        </w:rPr>
        <w:t xml:space="preserve"> </w:t>
      </w:r>
      <w:r w:rsidRPr="002A0EE0">
        <w:rPr>
          <w:rFonts w:hint="cs"/>
          <w:rtl/>
          <w:lang w:bidi="he-IL"/>
        </w:rPr>
        <w:t>מייסן</w:t>
      </w:r>
    </w:p>
    <w:p w14:paraId="01943802"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תקציר</w:t>
      </w:r>
      <w:r w:rsidRPr="002A0EE0">
        <w:rPr>
          <w:rFonts w:asciiTheme="majorBidi" w:hAnsiTheme="majorBidi" w:cstheme="majorBidi"/>
          <w:sz w:val="24"/>
          <w:szCs w:val="24"/>
          <w:lang w:bidi="ar-IQ"/>
        </w:rPr>
        <w:t>:</w:t>
      </w:r>
    </w:p>
    <w:p w14:paraId="2E35518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מחקר זה מנתח את ייצוגי החייל הישראלי בקובץ הסיפורים הקצרים "סיפורים קצרים שלי" מאת נחום מנדל (2014), תוך שימוש בגישה ספרותית המשלבת ניתוח נרטיבי וניתוח רטורי עם ביקורת תרבותית. המחקר מבקש לפרק את הדימוי המיתי של החייל הציוני באמצעות אסטרטגיות נרטיביות שונות, שבראשן: תיאור גוף החייל כאסתטי וטרגי כאחד, שימוש בשתיקה כשפה נרטיבית המשקפת עמימות וניכור, והמבנה הזמני הלא ליניארי שהופך את החייל לזכרון בלבד</w:t>
      </w:r>
      <w:r w:rsidRPr="002A0EE0">
        <w:rPr>
          <w:rFonts w:asciiTheme="majorBidi" w:hAnsiTheme="majorBidi" w:cstheme="majorBidi"/>
          <w:sz w:val="24"/>
          <w:szCs w:val="24"/>
          <w:lang w:bidi="ar-IQ"/>
        </w:rPr>
        <w:t>.</w:t>
      </w:r>
    </w:p>
    <w:p w14:paraId="4E85C013"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המחקר מתמקד בשלושה סיפורים עיקריים: "ג’ו", המתאר את החייל האניגמטי והדומם; "פגישה עם נכה", המציג את החייל הנכה כקורבן של המקרה והמערכת הצבאית, ו"שירות בהר הצופים", המתאר את החייל ברגעיו הפחות הרואיים. המחקר משתמש במושגים תיאורטיים מהספרות העברית המודרנית, כגון: המזל המוסרי הרע, ושתיקה נרטיבית בספרות החיילים הנעדרים. הוא גם נשען על הקריאות הביקורתיות על ייצוגי מלחמה בספרות הישראלית</w:t>
      </w:r>
      <w:r w:rsidRPr="002A0EE0">
        <w:rPr>
          <w:rFonts w:asciiTheme="majorBidi" w:hAnsiTheme="majorBidi" w:cstheme="majorBidi"/>
          <w:sz w:val="24"/>
          <w:szCs w:val="24"/>
          <w:lang w:bidi="ar-IQ"/>
        </w:rPr>
        <w:t>.</w:t>
      </w:r>
    </w:p>
    <w:p w14:paraId="7C266CEE"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המחקר מראה כי סיפוריו של מנדל מעצבים מחדש את דמותו של החייל הישראלי כאדם שביר, החי במרחבים גבוליים ומבודדים, סובל מטראומות פיזיות ופסיכולוגיות, ומתמודד עם סופים פתוחים שהופכים אותו לשאלה קיומית ללא תשובה, הרחוקה מאוד מהשיח ההרואי הרשמי</w:t>
      </w:r>
      <w:r w:rsidRPr="002A0EE0">
        <w:rPr>
          <w:rFonts w:asciiTheme="majorBidi" w:hAnsiTheme="majorBidi" w:cstheme="majorBidi"/>
          <w:sz w:val="24"/>
          <w:szCs w:val="24"/>
          <w:lang w:bidi="ar-IQ"/>
        </w:rPr>
        <w:t>.</w:t>
      </w:r>
    </w:p>
    <w:p w14:paraId="692DEEAE"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מילות מפתח: צורות- החייל- הציוני- הספרות העברית</w:t>
      </w:r>
      <w:r w:rsidRPr="002A0EE0">
        <w:rPr>
          <w:rFonts w:asciiTheme="majorBidi" w:hAnsiTheme="majorBidi" w:cstheme="majorBidi"/>
          <w:sz w:val="24"/>
          <w:szCs w:val="24"/>
          <w:lang w:bidi="ar-IQ"/>
        </w:rPr>
        <w:t>.</w:t>
      </w:r>
    </w:p>
    <w:p w14:paraId="222A6BBE"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חשיבות המחקר</w:t>
      </w:r>
      <w:r w:rsidRPr="002A0EE0">
        <w:rPr>
          <w:rFonts w:asciiTheme="majorBidi" w:hAnsiTheme="majorBidi" w:cstheme="majorBidi"/>
          <w:sz w:val="24"/>
          <w:szCs w:val="24"/>
          <w:lang w:bidi="ar-IQ"/>
        </w:rPr>
        <w:t>:</w:t>
      </w:r>
    </w:p>
    <w:p w14:paraId="50742C6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המחקר הזה חושף כיצד סיפוריו של נחום מנדל מעצבים מחדש את דמותו של החייל הישראלי, ועוברים מהאדרה מיתית לייצוג אנושי שברירי, ובכך תורמים לביקורת על השיח הלאומי הרשמי</w:t>
      </w:r>
      <w:r w:rsidRPr="002A0EE0">
        <w:rPr>
          <w:rFonts w:asciiTheme="majorBidi" w:hAnsiTheme="majorBidi" w:cstheme="majorBidi"/>
          <w:sz w:val="24"/>
          <w:szCs w:val="24"/>
          <w:lang w:bidi="ar-IQ"/>
        </w:rPr>
        <w:t>.</w:t>
      </w:r>
    </w:p>
    <w:p w14:paraId="13D7E667"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המחקר ממלא פער במחקרי הספרות הנוגעים לייצוגי החייל בסיפורים קצרים עבריים עכשוויים, ובמיוחד ביצירותיהם של סופרים פחות מוכרים כמו נחום מנדל</w:t>
      </w:r>
      <w:r w:rsidRPr="002A0EE0">
        <w:rPr>
          <w:rFonts w:asciiTheme="majorBidi" w:hAnsiTheme="majorBidi" w:cstheme="majorBidi"/>
          <w:sz w:val="24"/>
          <w:szCs w:val="24"/>
          <w:lang w:bidi="ar-IQ"/>
        </w:rPr>
        <w:t>.</w:t>
      </w:r>
    </w:p>
    <w:p w14:paraId="5CAEAA60"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המחקר מציע ניתוח מעמיק של טכניקות נרטיביות ייחודיות כגון שתיקה כמרחב סמנטי, הגוף הפצוע כמטאפורה והסוף הפתוח כשאלה קיומית</w:t>
      </w:r>
      <w:r w:rsidRPr="002A0EE0">
        <w:rPr>
          <w:rFonts w:asciiTheme="majorBidi" w:hAnsiTheme="majorBidi" w:cstheme="majorBidi"/>
          <w:sz w:val="24"/>
          <w:szCs w:val="24"/>
          <w:lang w:bidi="ar-IQ"/>
        </w:rPr>
        <w:t>.</w:t>
      </w:r>
    </w:p>
    <w:p w14:paraId="33CAFE1E"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המחקר מדגים כיצד טקסטים ספרותיים משקפים את התמורות של הזהות הישראלית ואת הקשר בין הפרט לממסד הצבאי בהקשר של סכסוך וזיכרון לאומי</w:t>
      </w:r>
      <w:r w:rsidRPr="002A0EE0">
        <w:rPr>
          <w:rFonts w:asciiTheme="majorBidi" w:hAnsiTheme="majorBidi" w:cstheme="majorBidi"/>
          <w:sz w:val="24"/>
          <w:szCs w:val="24"/>
          <w:lang w:bidi="ar-IQ"/>
        </w:rPr>
        <w:t>.</w:t>
      </w:r>
    </w:p>
    <w:p w14:paraId="0D838531"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מטרות המחקר</w:t>
      </w:r>
      <w:r w:rsidRPr="002A0EE0">
        <w:rPr>
          <w:rFonts w:asciiTheme="majorBidi" w:hAnsiTheme="majorBidi" w:cstheme="majorBidi"/>
          <w:sz w:val="24"/>
          <w:szCs w:val="24"/>
          <w:lang w:bidi="ar-IQ"/>
        </w:rPr>
        <w:t>:</w:t>
      </w:r>
    </w:p>
    <w:p w14:paraId="09995670"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lastRenderedPageBreak/>
        <w:t>ניתוח ייצוגי החייל בקובץ הסיפורים הקצרים על ידי בחינת המבנים הנרטיביים, הלשוניים והרטוריים המעצבים את דמותו</w:t>
      </w:r>
      <w:r w:rsidRPr="002A0EE0">
        <w:rPr>
          <w:rFonts w:asciiTheme="majorBidi" w:hAnsiTheme="majorBidi" w:cstheme="majorBidi"/>
          <w:sz w:val="24"/>
          <w:szCs w:val="24"/>
          <w:lang w:bidi="ar-IQ"/>
        </w:rPr>
        <w:t>.</w:t>
      </w:r>
    </w:p>
    <w:p w14:paraId="5A95AB8D"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פירוק האסטרטגיות הספרותיות שמנדל משתמש בהן כדי לערער את דמותו ההרואית של החייל, כגון אירוניה, שתיקה ותיאורי הגוף הפצוע</w:t>
      </w:r>
      <w:r w:rsidRPr="002A0EE0">
        <w:rPr>
          <w:rFonts w:asciiTheme="majorBidi" w:hAnsiTheme="majorBidi" w:cstheme="majorBidi"/>
          <w:sz w:val="24"/>
          <w:szCs w:val="24"/>
          <w:lang w:bidi="ar-IQ"/>
        </w:rPr>
        <w:t>.</w:t>
      </w:r>
    </w:p>
    <w:p w14:paraId="3AE3282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חוקר את הקשר בין החייל למרחב (גיאוגרפי ופסיכולוגי) וכיצד מקומות גבוליים ושוליים משקפים מצב של בידוד וניכור. לחקור את הפואטיקה של סופים פתוחים וכיצד הם הופכים את החייל מדמות דרמטית לשאלה קיומית על זהות, זיכרון ומשמעות הקורבן</w:t>
      </w:r>
      <w:r w:rsidRPr="002A0EE0">
        <w:rPr>
          <w:rFonts w:asciiTheme="majorBidi" w:hAnsiTheme="majorBidi" w:cstheme="majorBidi"/>
          <w:sz w:val="24"/>
          <w:szCs w:val="24"/>
          <w:lang w:bidi="ar-IQ"/>
        </w:rPr>
        <w:t>.</w:t>
      </w:r>
    </w:p>
    <w:p w14:paraId="3788112C"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שיטת מחקר</w:t>
      </w:r>
      <w:r w:rsidRPr="002A0EE0">
        <w:rPr>
          <w:rFonts w:asciiTheme="majorBidi" w:hAnsiTheme="majorBidi" w:cstheme="majorBidi"/>
          <w:sz w:val="24"/>
          <w:szCs w:val="24"/>
          <w:lang w:bidi="ar-IQ"/>
        </w:rPr>
        <w:t xml:space="preserve">: </w:t>
      </w:r>
    </w:p>
    <w:p w14:paraId="7A0796E1"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המחקר משתמש בשיטה תיאורית-אנליטית לקריאת טקסטים ספרותיים, תוך שימוש בשיטות נרטיביות ורטוריות כדי לנתח את המבנים הספרותיים והתמטיים בתוך קובץ הסיפורים הקצרים. גישה זו נתמכת על ידי מסגרת תיאורטית השאובה ממחקרים של ספרות עברית מודרנית, דטרמיניזם מוסרי, ספרות מלחמה וזיכרון</w:t>
      </w:r>
      <w:r w:rsidRPr="002A0EE0">
        <w:rPr>
          <w:rFonts w:asciiTheme="majorBidi" w:hAnsiTheme="majorBidi" w:cstheme="majorBidi"/>
          <w:sz w:val="24"/>
          <w:szCs w:val="24"/>
          <w:lang w:bidi="ar-IQ"/>
        </w:rPr>
        <w:t>.</w:t>
      </w:r>
    </w:p>
    <w:p w14:paraId="1034240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פרק א': החייל בספרות העברית- בין מיתוס לפירוק</w:t>
      </w:r>
    </w:p>
    <w:p w14:paraId="3B572F22" w14:textId="355AC384"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צורת החייל בספרות העברית המודרנית תופסת מקום מרכזי שבו האסתטיקה מצטלבת עם הפוליטי, והקיומי עם הלאומי. מאז גיוס היהודים לצבאות אירופה כסמל של אינטגרציה ואזרחות במאה ה-19, צורת החייל היהודי הפכה למאפיין מרכזי בעיצוב הזהות העברית המודרנית</w:t>
      </w:r>
      <w:r w:rsidRPr="00075A86">
        <w:rPr>
          <w:rFonts w:asciiTheme="majorBidi" w:hAnsiTheme="majorBidi" w:cstheme="majorBidi"/>
          <w:sz w:val="24"/>
          <w:szCs w:val="24"/>
          <w:vertAlign w:val="superscript"/>
          <w:rtl/>
          <w:lang w:bidi="he-IL"/>
        </w:rPr>
        <w:t xml:space="preserve">.( </w:t>
      </w:r>
      <w:r w:rsidR="00075A86" w:rsidRPr="00075A86">
        <w:rPr>
          <w:rFonts w:asciiTheme="majorBidi" w:hAnsiTheme="majorBidi" w:cstheme="majorBidi"/>
          <w:sz w:val="24"/>
          <w:szCs w:val="24"/>
          <w:vertAlign w:val="superscript"/>
          <w:lang w:bidi="he-IL"/>
        </w:rPr>
        <w:t>1</w:t>
      </w:r>
      <w:r w:rsidRPr="00075A86">
        <w:rPr>
          <w:rFonts w:asciiTheme="majorBidi" w:hAnsiTheme="majorBidi" w:cstheme="majorBidi"/>
          <w:sz w:val="24"/>
          <w:szCs w:val="24"/>
          <w:vertAlign w:val="superscript"/>
          <w:rtl/>
          <w:lang w:bidi="he-IL"/>
        </w:rPr>
        <w:t xml:space="preserve"> )</w:t>
      </w:r>
      <w:r w:rsidRPr="002A0EE0">
        <w:rPr>
          <w:rFonts w:asciiTheme="majorBidi" w:hAnsiTheme="majorBidi" w:cstheme="majorBidi"/>
          <w:sz w:val="24"/>
          <w:szCs w:val="24"/>
          <w:rtl/>
          <w:lang w:bidi="he-IL"/>
        </w:rPr>
        <w:t xml:space="preserve"> מעבר זה מ"יהודי התנ''ך" ל"יהודי החרב" כרוך בדילמות עמוקות, החל מחגיגת העצמה פיזית ועד ביקורת חריפה על אלימות מוסדית</w:t>
      </w:r>
      <w:r w:rsidRPr="002A0EE0">
        <w:rPr>
          <w:rFonts w:asciiTheme="majorBidi" w:hAnsiTheme="majorBidi" w:cstheme="majorBidi"/>
          <w:sz w:val="24"/>
          <w:szCs w:val="24"/>
          <w:lang w:bidi="ar-IQ"/>
        </w:rPr>
        <w:t>.</w:t>
      </w:r>
    </w:p>
    <w:p w14:paraId="1AB7F83B"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הספרות העברית ביטאה את התמורות הללו באמצעות מושגים תיאורטיים מרכזיים כגון</w:t>
      </w:r>
      <w:r w:rsidRPr="002A0EE0">
        <w:rPr>
          <w:rFonts w:asciiTheme="majorBidi" w:hAnsiTheme="majorBidi" w:cstheme="majorBidi"/>
          <w:sz w:val="24"/>
          <w:szCs w:val="24"/>
          <w:lang w:bidi="ar-IQ"/>
        </w:rPr>
        <w:t>:</w:t>
      </w:r>
    </w:p>
    <w:p w14:paraId="1EBAB0D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יהודי שרירי": המשקף את שחזור הגוף היהודי באמצעות אימון פיזי וצבאי</w:t>
      </w:r>
      <w:r w:rsidRPr="002A0EE0">
        <w:rPr>
          <w:rFonts w:asciiTheme="majorBidi" w:hAnsiTheme="majorBidi" w:cstheme="majorBidi"/>
          <w:sz w:val="24"/>
          <w:szCs w:val="24"/>
          <w:lang w:bidi="ar-IQ"/>
        </w:rPr>
        <w:t>.</w:t>
      </w:r>
    </w:p>
    <w:p w14:paraId="7B1F3E42"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תסביך מצדה": המשקף את המתח בין הרצון לכוח לאומי לבין הפחד מהשמדה המונית</w:t>
      </w:r>
      <w:r w:rsidRPr="002A0EE0">
        <w:rPr>
          <w:rFonts w:asciiTheme="majorBidi" w:hAnsiTheme="majorBidi" w:cstheme="majorBidi"/>
          <w:sz w:val="24"/>
          <w:szCs w:val="24"/>
          <w:lang w:bidi="ar-IQ"/>
        </w:rPr>
        <w:t>.</w:t>
      </w:r>
    </w:p>
    <w:p w14:paraId="78A46A7A" w14:textId="760B6F59"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תסמונת שמשון": המשקפת את הנטייה לאלימות אובדנית לנוכח איומים קיומיים</w:t>
      </w:r>
      <w:r w:rsidRPr="00075A86">
        <w:rPr>
          <w:rFonts w:asciiTheme="majorBidi" w:hAnsiTheme="majorBidi" w:cstheme="majorBidi"/>
          <w:sz w:val="24"/>
          <w:szCs w:val="24"/>
          <w:vertAlign w:val="superscript"/>
          <w:lang w:bidi="ar-IQ"/>
        </w:rPr>
        <w:t>. (</w:t>
      </w:r>
      <w:r w:rsidR="00075A86" w:rsidRPr="00075A86">
        <w:rPr>
          <w:rFonts w:asciiTheme="majorBidi" w:hAnsiTheme="majorBidi" w:cstheme="majorBidi"/>
          <w:sz w:val="24"/>
          <w:szCs w:val="24"/>
          <w:vertAlign w:val="superscript"/>
          <w:lang w:bidi="ar-IQ"/>
        </w:rPr>
        <w:t>2</w:t>
      </w:r>
      <w:r w:rsidRPr="00075A86">
        <w:rPr>
          <w:rFonts w:asciiTheme="majorBidi" w:hAnsiTheme="majorBidi" w:cstheme="majorBidi"/>
          <w:sz w:val="24"/>
          <w:szCs w:val="24"/>
          <w:vertAlign w:val="superscript"/>
          <w:lang w:bidi="ar-IQ"/>
        </w:rPr>
        <w:t xml:space="preserve"> )</w:t>
      </w:r>
    </w:p>
    <w:p w14:paraId="5695B7F0" w14:textId="09F09EC0"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בספרות העברית, ייצוגי החייל משתנים בין טקסטים המפארים את מעשה ההקרבה לבין אחרים הבוחנים באופן ביקורתי את השימוש בכוח צבאי ואת הדואליות של האזרח-חייל. נימה ביקורתית זו התעצמה בספרות שנכתבה במהלך המרידות והסכסוכים המתמשכים.</w:t>
      </w:r>
      <w:r w:rsidRPr="00075A86">
        <w:rPr>
          <w:rFonts w:asciiTheme="majorBidi" w:hAnsiTheme="majorBidi" w:cstheme="majorBidi"/>
          <w:sz w:val="24"/>
          <w:szCs w:val="24"/>
          <w:vertAlign w:val="superscript"/>
          <w:rtl/>
          <w:lang w:bidi="he-IL"/>
        </w:rPr>
        <w:t xml:space="preserve">( </w:t>
      </w:r>
      <w:r w:rsidR="00075A86" w:rsidRPr="00075A86">
        <w:rPr>
          <w:rFonts w:asciiTheme="majorBidi" w:hAnsiTheme="majorBidi" w:cstheme="majorBidi"/>
          <w:sz w:val="24"/>
          <w:szCs w:val="24"/>
          <w:vertAlign w:val="superscript"/>
          <w:lang w:bidi="he-IL"/>
        </w:rPr>
        <w:t>3</w:t>
      </w:r>
      <w:r w:rsidRPr="00075A86">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בתחום הזיכרון וההיעדר, לחיילים נעדרים ומתים מקום בולט בשירה ובפרוזה העברית, שם נושא החייל הנעדר מעלה סוגיות פואטיות מיוחדות השונות מספרות המלחמה המסורתית</w:t>
      </w:r>
      <w:r w:rsidRPr="00075A86">
        <w:rPr>
          <w:rFonts w:asciiTheme="majorBidi" w:hAnsiTheme="majorBidi" w:cstheme="majorBidi"/>
          <w:sz w:val="24"/>
          <w:szCs w:val="24"/>
          <w:vertAlign w:val="superscript"/>
          <w:lang w:bidi="ar-IQ"/>
        </w:rPr>
        <w:t>. (</w:t>
      </w:r>
      <w:r w:rsidR="00075A86" w:rsidRPr="00075A86">
        <w:rPr>
          <w:rFonts w:asciiTheme="majorBidi" w:hAnsiTheme="majorBidi" w:cstheme="majorBidi"/>
          <w:sz w:val="24"/>
          <w:szCs w:val="24"/>
          <w:vertAlign w:val="superscript"/>
          <w:lang w:bidi="ar-IQ"/>
        </w:rPr>
        <w:t>4</w:t>
      </w:r>
      <w:r w:rsidRPr="00075A86">
        <w:rPr>
          <w:rFonts w:asciiTheme="majorBidi" w:hAnsiTheme="majorBidi" w:cstheme="majorBidi"/>
          <w:sz w:val="24"/>
          <w:szCs w:val="24"/>
          <w:vertAlign w:val="superscript"/>
          <w:lang w:bidi="ar-IQ"/>
        </w:rPr>
        <w:t xml:space="preserve"> )</w:t>
      </w:r>
    </w:p>
    <w:p w14:paraId="4D894245" w14:textId="7740F3A2" w:rsidR="00897EBD" w:rsidRPr="002A0EE0" w:rsidRDefault="002A0EE0" w:rsidP="002A0EE0">
      <w:pPr>
        <w:pStyle w:val="a6"/>
        <w:bidi/>
        <w:jc w:val="both"/>
        <w:rPr>
          <w:rFonts w:asciiTheme="majorBidi" w:hAnsiTheme="majorBidi" w:cstheme="majorBidi"/>
          <w:sz w:val="24"/>
          <w:szCs w:val="24"/>
          <w:lang w:bidi="ar-IQ"/>
        </w:rPr>
      </w:pPr>
      <w:r w:rsidRPr="002A0EE0">
        <w:rPr>
          <w:rFonts w:asciiTheme="majorBidi" w:hAnsiTheme="majorBidi" w:cstheme="majorBidi"/>
          <w:sz w:val="24"/>
          <w:szCs w:val="24"/>
          <w:rtl/>
          <w:lang w:bidi="he-IL"/>
        </w:rPr>
        <w:t>מחקרים ספרותיים מראים כי הספרות העברית מכילה טקסטים סותרים על החייל: חלקם מהללים את מעשה ההקרבה, בעוד שאחרים ביקורתיים ומתנגדים, ומעלים שאלות אתיות ופוליטיות בנוגע לשימוש בכוח צבאי.</w:t>
      </w:r>
      <w:r w:rsidRPr="00075A86">
        <w:rPr>
          <w:rFonts w:asciiTheme="majorBidi" w:hAnsiTheme="majorBidi" w:cstheme="majorBidi"/>
          <w:sz w:val="24"/>
          <w:szCs w:val="24"/>
          <w:vertAlign w:val="superscript"/>
          <w:rtl/>
          <w:lang w:bidi="he-IL"/>
        </w:rPr>
        <w:t xml:space="preserve">( </w:t>
      </w:r>
      <w:r w:rsidR="00075A86" w:rsidRPr="00075A86">
        <w:rPr>
          <w:rFonts w:asciiTheme="majorBidi" w:hAnsiTheme="majorBidi" w:cstheme="majorBidi"/>
          <w:sz w:val="24"/>
          <w:szCs w:val="24"/>
          <w:vertAlign w:val="superscript"/>
          <w:lang w:bidi="he-IL"/>
        </w:rPr>
        <w:t>5</w:t>
      </w:r>
      <w:r w:rsidRPr="00075A86">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טון ביקורתי זה הפך בולט במיוחד בספרות שנכתבה במהלך הסכסוך המתמשך, שם החייל הישראלי מעלה שאלות על האנושות, על טבעה של ישראל כדמוקרטיה, וכיצד לגדל דורות עתידיים. </w:t>
      </w:r>
      <w:r w:rsidRPr="00075A86">
        <w:rPr>
          <w:rFonts w:asciiTheme="majorBidi" w:hAnsiTheme="majorBidi" w:cstheme="majorBidi"/>
          <w:sz w:val="24"/>
          <w:szCs w:val="24"/>
          <w:vertAlign w:val="superscript"/>
          <w:rtl/>
          <w:lang w:bidi="he-IL"/>
        </w:rPr>
        <w:t xml:space="preserve">( </w:t>
      </w:r>
      <w:r w:rsidR="00075A86" w:rsidRPr="00075A86">
        <w:rPr>
          <w:rFonts w:asciiTheme="majorBidi" w:hAnsiTheme="majorBidi" w:cstheme="majorBidi"/>
          <w:sz w:val="24"/>
          <w:szCs w:val="24"/>
          <w:vertAlign w:val="superscript"/>
          <w:lang w:bidi="he-IL"/>
        </w:rPr>
        <w:t>6</w:t>
      </w:r>
      <w:r w:rsidRPr="00075A86">
        <w:rPr>
          <w:rFonts w:asciiTheme="majorBidi" w:hAnsiTheme="majorBidi" w:cstheme="majorBidi"/>
          <w:sz w:val="24"/>
          <w:szCs w:val="24"/>
          <w:vertAlign w:val="superscript"/>
          <w:rtl/>
          <w:lang w:bidi="he-IL"/>
        </w:rPr>
        <w:t>)</w:t>
      </w:r>
    </w:p>
    <w:p w14:paraId="42D31B98" w14:textId="624483EF"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באשר לספרות המלחמה לאחר מלחמת 1973: בספרה חיי מלחמה, ניצה בן-דב מציינת כי סופרים ישראלים משתמשים בחופש שמעניק הרומן כדי לאתגר את המיתוס ההרואי של המלחמה.</w:t>
      </w:r>
      <w:r w:rsidRPr="00075A86">
        <w:rPr>
          <w:rFonts w:asciiTheme="majorBidi" w:hAnsiTheme="majorBidi" w:cstheme="majorBidi"/>
          <w:sz w:val="24"/>
          <w:szCs w:val="24"/>
          <w:vertAlign w:val="superscript"/>
          <w:rtl/>
          <w:lang w:bidi="he-IL"/>
        </w:rPr>
        <w:t xml:space="preserve">( </w:t>
      </w:r>
      <w:r w:rsidR="00075A86" w:rsidRPr="00075A86">
        <w:rPr>
          <w:rFonts w:asciiTheme="majorBidi" w:hAnsiTheme="majorBidi" w:cstheme="majorBidi"/>
          <w:sz w:val="24"/>
          <w:szCs w:val="24"/>
          <w:vertAlign w:val="superscript"/>
          <w:lang w:bidi="ar-IQ"/>
        </w:rPr>
        <w:t>7</w:t>
      </w:r>
      <w:r w:rsidRPr="00075A86">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הם עושים זאת לא רק על ידי פנייה פנימה, אל העורף ונפשם של אנשים שחוו טראומה לאחר המלחמה, אלא גם על ידי שיבוש הקשר בין המציאות ההיסטורית לנרטיב, בין אותנטיות לייצוג</w:t>
      </w:r>
      <w:r w:rsidRPr="002A0EE0">
        <w:rPr>
          <w:rFonts w:asciiTheme="majorBidi" w:hAnsiTheme="majorBidi" w:cstheme="majorBidi"/>
          <w:sz w:val="24"/>
          <w:szCs w:val="24"/>
          <w:lang w:bidi="ar-IQ"/>
        </w:rPr>
        <w:t xml:space="preserve">. </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8</w:t>
      </w:r>
      <w:r w:rsidRPr="00075A86">
        <w:rPr>
          <w:rFonts w:asciiTheme="majorBidi" w:hAnsiTheme="majorBidi" w:cstheme="majorBidi"/>
          <w:sz w:val="24"/>
          <w:szCs w:val="24"/>
          <w:vertAlign w:val="superscript"/>
          <w:lang w:bidi="ar-IQ"/>
        </w:rPr>
        <w:t xml:space="preserve"> )</w:t>
      </w:r>
    </w:p>
    <w:p w14:paraId="37D67BF9" w14:textId="79865E5C"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ניתוחיו של בן-דב מתמקדים ביצירותיהם של סופרים כמו שמואל יוסף עגנון, יהודה עמיחי ועמוס עוז, ומראים כיצד יצירות אלו מציעות מבט מעמיק על הקשר הסימביוטי בין החיים האזרחיים והצבאיים, ועל הסיפוק שבחיים תחת איום מתמיד של מלחמה</w:t>
      </w:r>
      <w:r w:rsidRPr="00075A86">
        <w:rPr>
          <w:rFonts w:asciiTheme="majorBidi" w:hAnsiTheme="majorBidi" w:cstheme="majorBidi"/>
          <w:sz w:val="24"/>
          <w:szCs w:val="24"/>
          <w:vertAlign w:val="superscript"/>
          <w:lang w:bidi="ar-IQ"/>
        </w:rPr>
        <w:t>. (</w:t>
      </w:r>
      <w:r w:rsidR="00075A86" w:rsidRPr="00075A86">
        <w:rPr>
          <w:rFonts w:asciiTheme="majorBidi" w:hAnsiTheme="majorBidi" w:cstheme="majorBidi"/>
          <w:sz w:val="24"/>
          <w:szCs w:val="24"/>
          <w:vertAlign w:val="superscript"/>
          <w:lang w:bidi="ar-IQ"/>
        </w:rPr>
        <w:t>9</w:t>
      </w:r>
      <w:r w:rsidRPr="00075A86">
        <w:rPr>
          <w:rFonts w:asciiTheme="majorBidi" w:hAnsiTheme="majorBidi" w:cstheme="majorBidi"/>
          <w:sz w:val="24"/>
          <w:szCs w:val="24"/>
          <w:vertAlign w:val="superscript"/>
          <w:lang w:bidi="ar-IQ"/>
        </w:rPr>
        <w:t xml:space="preserve"> )</w:t>
      </w:r>
    </w:p>
    <w:p w14:paraId="3A5ECC8F"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יישומים של מושג זה בסיפוריו של מנדל</w:t>
      </w:r>
    </w:p>
    <w:p w14:paraId="61DA604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בסיפור "שרות בהר הצופים", מפרק מנדל את דמותו המיתולוגית של החייל על ידי תיאור הסיורים כחסרי ערך מעשי, אלא קיום פוליטי בלבד</w:t>
      </w:r>
      <w:r w:rsidRPr="002A0EE0">
        <w:rPr>
          <w:rFonts w:asciiTheme="majorBidi" w:hAnsiTheme="majorBidi" w:cstheme="majorBidi"/>
          <w:sz w:val="24"/>
          <w:szCs w:val="24"/>
          <w:lang w:bidi="ar-IQ"/>
        </w:rPr>
        <w:t>:</w:t>
      </w:r>
    </w:p>
    <w:p w14:paraId="11ABF423" w14:textId="32DED6E6"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למשימתם לא הייתה ערך מבצעי (היו חשופים מדי לפגיעה), אלא פוליטי להפגין נוכחות ישראלית בהר</w:t>
      </w:r>
      <w:r w:rsidRPr="002A0EE0">
        <w:rPr>
          <w:rFonts w:asciiTheme="majorBidi" w:hAnsiTheme="majorBidi" w:cstheme="majorBidi"/>
          <w:sz w:val="24"/>
          <w:szCs w:val="24"/>
          <w:lang w:bidi="ar-IQ"/>
        </w:rPr>
        <w:t>"</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10</w:t>
      </w:r>
      <w:r w:rsidRPr="00075A86">
        <w:rPr>
          <w:rFonts w:asciiTheme="majorBidi" w:hAnsiTheme="majorBidi" w:cstheme="majorBidi"/>
          <w:sz w:val="24"/>
          <w:szCs w:val="24"/>
          <w:vertAlign w:val="superscript"/>
          <w:lang w:bidi="ar-IQ"/>
        </w:rPr>
        <w:t xml:space="preserve"> )</w:t>
      </w:r>
      <w:r w:rsidRPr="002A0EE0">
        <w:rPr>
          <w:rFonts w:asciiTheme="majorBidi" w:hAnsiTheme="majorBidi" w:cstheme="majorBidi"/>
          <w:sz w:val="24"/>
          <w:szCs w:val="24"/>
          <w:lang w:bidi="ar-IQ"/>
        </w:rPr>
        <w:t xml:space="preserve"> </w:t>
      </w:r>
    </w:p>
    <w:p w14:paraId="0CC1979E"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תיאור זה מדגיש את הפרדוקס הבסיסי בחייו של חייל: הוא קיים כדי להיראות, לא בהכרח כדי להיות יעיל, החייל כאן אינו גיבור שמתעמת עם האויב, אלא רק סמל המשמש להעמדה פוליטית, בו זמנית פגיע ואינו מסוגל להגן באופן מלא. עצמו</w:t>
      </w:r>
      <w:r w:rsidRPr="002A0EE0">
        <w:rPr>
          <w:rFonts w:asciiTheme="majorBidi" w:hAnsiTheme="majorBidi" w:cstheme="majorBidi"/>
          <w:sz w:val="24"/>
          <w:szCs w:val="24"/>
          <w:lang w:bidi="ar-IQ"/>
        </w:rPr>
        <w:t>.</w:t>
      </w:r>
    </w:p>
    <w:p w14:paraId="79E24503"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 xml:space="preserve">בניתוח נוסף, ניתן לראות, כי האירוניה הספרותית טמונה בעובדה שהחייל נמצא בסכנה "חשבים מדי לפגיעה", אך סכנה זו אינה נובעת מעימות צבאי ממשי, אלא מהיותו מטרה סמלית בסכסוך פוליטי. אירוניה זו מחלישה את הנרטיב </w:t>
      </w:r>
      <w:r w:rsidRPr="002A0EE0">
        <w:rPr>
          <w:rFonts w:asciiTheme="majorBidi" w:hAnsiTheme="majorBidi" w:cstheme="majorBidi"/>
          <w:sz w:val="24"/>
          <w:szCs w:val="24"/>
          <w:rtl/>
          <w:lang w:bidi="he-IL"/>
        </w:rPr>
        <w:lastRenderedPageBreak/>
        <w:t>ההרואי ומדגישה את שבריריות הנוכחות הצבאית עצמה. יתר על כן, מנדל מתאר את הילדים הערבים בסיפור מנופפים לחיילים, ולא זורקים אבנים, מה שמעניק לסצנה איכות אבסורדית המפרקת את הדיכוטומיה של ידיד ואויב</w:t>
      </w:r>
      <w:r w:rsidRPr="002A0EE0">
        <w:rPr>
          <w:rFonts w:asciiTheme="majorBidi" w:hAnsiTheme="majorBidi" w:cstheme="majorBidi"/>
          <w:sz w:val="24"/>
          <w:szCs w:val="24"/>
          <w:lang w:bidi="ar-IQ"/>
        </w:rPr>
        <w:t>.</w:t>
      </w:r>
    </w:p>
    <w:p w14:paraId="787E824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מושג ההיעדרות בנרטיב ספרותי</w:t>
      </w:r>
    </w:p>
    <w:p w14:paraId="2858666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נושא החיילים הנעדרים בספרות העברית הישראלית מהווה תופעה נרטיבית מובחנת, השונה באופן מהותי מספרות המלחמה המסורתית. בעוד שנפלים תופסים מקום בולט בשירה ובפרוזה העברית, "היעדרותו" של חייל מעלה סוגיות פואטיות ייחודיות, שונות ממקרה של חללים, שבו נתיבי הנרטיב בנויים כסיפורי חיפוש ומסעות</w:t>
      </w:r>
      <w:r w:rsidRPr="002A0EE0">
        <w:rPr>
          <w:rFonts w:asciiTheme="majorBidi" w:hAnsiTheme="majorBidi" w:cstheme="majorBidi"/>
          <w:sz w:val="24"/>
          <w:szCs w:val="24"/>
          <w:lang w:bidi="ar-IQ"/>
        </w:rPr>
        <w:t>.</w:t>
      </w:r>
    </w:p>
    <w:p w14:paraId="625D9FC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החוקרת הדי שיט טוענת כי היעדרותו של חייל לא רק מעלה שאלות פוליטיות ואתיות שונות מאלה המתעוררות במקרה של חללים, אלא גם מעוררת צורות פואטיות שונות. הדבר ניכר בבירור בסיפור "ג’ו" מאוסף נחום מנדל</w:t>
      </w:r>
      <w:r w:rsidRPr="002A0EE0">
        <w:rPr>
          <w:rFonts w:asciiTheme="majorBidi" w:hAnsiTheme="majorBidi" w:cstheme="majorBidi"/>
          <w:sz w:val="24"/>
          <w:szCs w:val="24"/>
          <w:lang w:bidi="ar-IQ"/>
        </w:rPr>
        <w:t>.</w:t>
      </w:r>
    </w:p>
    <w:p w14:paraId="3CC7D37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ניתוחו של שיט מבוסס על תיאוריית ה"מוצהר" וה"לא מוצהר" של פייר מקריי בטקסטים ספרותיים. מקריי מבחין בין שתי רמות אלו, וקובע כי כתיבה מעוררת משהו שחסר; אחרת, הוא לא היה נכתב מלכתחילה. עם זאת, גם הכתיבה שומרת על היעדרות זו, כי כדי להזכיר נקודה אחת, נקודות אחרות חייבות להישאר לא מוצהרות</w:t>
      </w:r>
      <w:r w:rsidRPr="002A0EE0">
        <w:rPr>
          <w:rFonts w:asciiTheme="majorBidi" w:hAnsiTheme="majorBidi" w:cstheme="majorBidi"/>
          <w:sz w:val="24"/>
          <w:szCs w:val="24"/>
          <w:lang w:bidi="ar-IQ"/>
        </w:rPr>
        <w:t>.</w:t>
      </w:r>
    </w:p>
    <w:p w14:paraId="59082FDB" w14:textId="29E7098D"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שייט נשען גם על תיאוריית "הלא מודע הפוליטי" של פרדריק ג'יימסון, אשר מציעה כי ה"לא מדובר" הוא היבט מכריע ביצירה ספרותית. לדברי ג'יימסון, ספרות נובעת ממתחים לא פתורים בתוך המציאות שבה היא כתובה, ומתוך הסתירות החברתיות והפוליטיות של זמנה. למרות היותה בדיונית, היא מציעה פתרון למציאות החיצונית של הטקסט. באופן זה, היצירה הספרותית מתארת את הסיטואציה הסותרת עצמה ובו זמנית מספקת לה מענה</w:t>
      </w:r>
      <w:r w:rsidRPr="00075A86">
        <w:rPr>
          <w:rFonts w:asciiTheme="majorBidi" w:hAnsiTheme="majorBidi" w:cstheme="majorBidi"/>
          <w:sz w:val="24"/>
          <w:szCs w:val="24"/>
          <w:vertAlign w:val="superscript"/>
          <w:lang w:bidi="ar-IQ"/>
        </w:rPr>
        <w:t>. (</w:t>
      </w:r>
      <w:r w:rsidR="00075A86" w:rsidRPr="00075A86">
        <w:rPr>
          <w:rFonts w:asciiTheme="majorBidi" w:hAnsiTheme="majorBidi" w:cstheme="majorBidi"/>
          <w:sz w:val="24"/>
          <w:szCs w:val="24"/>
          <w:vertAlign w:val="superscript"/>
          <w:lang w:bidi="ar-IQ"/>
        </w:rPr>
        <w:t>11</w:t>
      </w:r>
      <w:r w:rsidRPr="00075A86">
        <w:rPr>
          <w:rFonts w:asciiTheme="majorBidi" w:hAnsiTheme="majorBidi" w:cstheme="majorBidi"/>
          <w:sz w:val="24"/>
          <w:szCs w:val="24"/>
          <w:vertAlign w:val="superscript"/>
          <w:lang w:bidi="ar-IQ"/>
        </w:rPr>
        <w:t xml:space="preserve"> )</w:t>
      </w:r>
    </w:p>
    <w:p w14:paraId="2A20C42B"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סיפורו של "ג’ו"- היעדרות כפולה ודממה נרטיבית</w:t>
      </w:r>
    </w:p>
    <w:p w14:paraId="461276C5"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המחבר מספר על יחסיו המעורפלים עם ג’ו, חייל שחולק את חדרו. המחבר מתאר אותו כ</w:t>
      </w:r>
      <w:r w:rsidRPr="002A0EE0">
        <w:rPr>
          <w:rFonts w:asciiTheme="majorBidi" w:hAnsiTheme="majorBidi" w:cstheme="majorBidi"/>
          <w:sz w:val="24"/>
          <w:szCs w:val="24"/>
          <w:lang w:bidi="ar-IQ"/>
        </w:rPr>
        <w:t>:</w:t>
      </w:r>
    </w:p>
    <w:p w14:paraId="4D63328A" w14:textId="1F663174"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 xml:space="preserve"> "</w:t>
      </w:r>
      <w:r w:rsidRPr="002A0EE0">
        <w:rPr>
          <w:rFonts w:asciiTheme="majorBidi" w:hAnsiTheme="majorBidi" w:cstheme="majorBidi"/>
          <w:sz w:val="24"/>
          <w:szCs w:val="24"/>
          <w:rtl/>
          <w:lang w:bidi="he-IL"/>
        </w:rPr>
        <w:t>אדם שקט ומאוד מסודר</w:t>
      </w:r>
      <w:r w:rsidRPr="002A0EE0">
        <w:rPr>
          <w:rFonts w:asciiTheme="majorBidi" w:hAnsiTheme="majorBidi" w:cstheme="majorBidi"/>
          <w:sz w:val="24"/>
          <w:szCs w:val="24"/>
          <w:lang w:bidi="ar-IQ"/>
        </w:rPr>
        <w:t>"</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12</w:t>
      </w:r>
      <w:r w:rsidRPr="00075A86">
        <w:rPr>
          <w:rFonts w:asciiTheme="majorBidi" w:hAnsiTheme="majorBidi" w:cstheme="majorBidi"/>
          <w:sz w:val="24"/>
          <w:szCs w:val="24"/>
          <w:vertAlign w:val="superscript"/>
          <w:lang w:bidi="ar-IQ"/>
        </w:rPr>
        <w:t xml:space="preserve"> )</w:t>
      </w:r>
    </w:p>
    <w:p w14:paraId="7196C33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לאורך כל היכרותם, ג’ו נשאר אפוף מסתורין</w:t>
      </w:r>
      <w:r w:rsidRPr="002A0EE0">
        <w:rPr>
          <w:rFonts w:asciiTheme="majorBidi" w:hAnsiTheme="majorBidi" w:cstheme="majorBidi"/>
          <w:sz w:val="24"/>
          <w:szCs w:val="24"/>
          <w:lang w:bidi="ar-IQ"/>
        </w:rPr>
        <w:t>:</w:t>
      </w:r>
    </w:p>
    <w:p w14:paraId="3FCB9162" w14:textId="2E83F0B4"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 xml:space="preserve"> "</w:t>
      </w:r>
      <w:r w:rsidRPr="002A0EE0">
        <w:rPr>
          <w:rFonts w:asciiTheme="majorBidi" w:hAnsiTheme="majorBidi" w:cstheme="majorBidi"/>
          <w:sz w:val="24"/>
          <w:szCs w:val="24"/>
          <w:rtl/>
          <w:lang w:bidi="he-IL"/>
        </w:rPr>
        <w:t>מעולם לא סיפר לי את שמו האמתי ולא הוסיף שום דבר כמידע נוסף</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13</w:t>
      </w:r>
      <w:r w:rsidRPr="00075A86">
        <w:rPr>
          <w:rFonts w:asciiTheme="majorBidi" w:hAnsiTheme="majorBidi" w:cstheme="majorBidi"/>
          <w:sz w:val="24"/>
          <w:szCs w:val="24"/>
          <w:vertAlign w:val="superscript"/>
          <w:lang w:bidi="ar-IQ"/>
        </w:rPr>
        <w:t xml:space="preserve"> )</w:t>
      </w:r>
    </w:p>
    <w:p w14:paraId="7F95413A"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עם פרוץ מלחמת העצמאות אבד הקשר, ומאוחר יותר מודיעים למחבר שג’ו נהרג בפעולה</w:t>
      </w:r>
      <w:r w:rsidRPr="002A0EE0">
        <w:rPr>
          <w:rFonts w:asciiTheme="majorBidi" w:hAnsiTheme="majorBidi" w:cstheme="majorBidi"/>
          <w:sz w:val="24"/>
          <w:szCs w:val="24"/>
          <w:lang w:bidi="ar-IQ"/>
        </w:rPr>
        <w:t>.</w:t>
      </w:r>
    </w:p>
    <w:p w14:paraId="1BF44C1A"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המחבר מגלה שג’ו רשם אותו כקרוב משפחתו הקרוב בעולם</w:t>
      </w:r>
      <w:r w:rsidRPr="002A0EE0">
        <w:rPr>
          <w:rFonts w:asciiTheme="majorBidi" w:hAnsiTheme="majorBidi" w:cstheme="majorBidi"/>
          <w:sz w:val="24"/>
          <w:szCs w:val="24"/>
          <w:lang w:bidi="ar-IQ"/>
        </w:rPr>
        <w:t xml:space="preserve">: </w:t>
      </w:r>
    </w:p>
    <w:p w14:paraId="06184901" w14:textId="16B600C3"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כי ג’ו רשם בכרטיסו בלשכת הגיוס שאתה קרובו היחידי בעולם</w:t>
      </w:r>
      <w:r w:rsidRPr="002A0EE0">
        <w:rPr>
          <w:rFonts w:asciiTheme="majorBidi" w:hAnsiTheme="majorBidi" w:cstheme="majorBidi"/>
          <w:sz w:val="24"/>
          <w:szCs w:val="24"/>
          <w:lang w:bidi="ar-IQ"/>
        </w:rPr>
        <w:t>"</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14</w:t>
      </w:r>
      <w:r w:rsidRPr="00075A86">
        <w:rPr>
          <w:rFonts w:asciiTheme="majorBidi" w:hAnsiTheme="majorBidi" w:cstheme="majorBidi"/>
          <w:sz w:val="24"/>
          <w:szCs w:val="24"/>
          <w:vertAlign w:val="superscript"/>
          <w:lang w:bidi="ar-IQ"/>
        </w:rPr>
        <w:t xml:space="preserve"> ) </w:t>
      </w:r>
    </w:p>
    <w:p w14:paraId="6CB570BF" w14:textId="5F47E45F"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הוא גם מוריש לו את רכושו באמצעות צוואה רשמית. זהותו של ג’ו נותרה בגדר תעלומה גם לאחר מותו: "ג’ו לקח עמו לקבר את סודות חייו</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15</w:t>
      </w:r>
      <w:r w:rsidRPr="00075A86">
        <w:rPr>
          <w:rFonts w:asciiTheme="majorBidi" w:hAnsiTheme="majorBidi" w:cstheme="majorBidi"/>
          <w:sz w:val="24"/>
          <w:szCs w:val="24"/>
          <w:vertAlign w:val="superscript"/>
          <w:lang w:bidi="ar-IQ"/>
        </w:rPr>
        <w:t xml:space="preserve"> )</w:t>
      </w:r>
      <w:r w:rsidRPr="002A0EE0">
        <w:rPr>
          <w:rFonts w:asciiTheme="majorBidi" w:hAnsiTheme="majorBidi" w:cstheme="majorBidi"/>
          <w:sz w:val="24"/>
          <w:szCs w:val="24"/>
          <w:lang w:bidi="ar-IQ"/>
        </w:rPr>
        <w:t xml:space="preserve"> </w:t>
      </w:r>
    </w:p>
    <w:p w14:paraId="07B330DF"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שלושת דפוסי ההיעדרות</w:t>
      </w:r>
      <w:r w:rsidRPr="002A0EE0">
        <w:rPr>
          <w:rFonts w:asciiTheme="majorBidi" w:hAnsiTheme="majorBidi" w:cstheme="majorBidi"/>
          <w:sz w:val="24"/>
          <w:szCs w:val="24"/>
          <w:lang w:bidi="ar-IQ"/>
        </w:rPr>
        <w:t>:</w:t>
      </w:r>
    </w:p>
    <w:p w14:paraId="00669AA1"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היעדרות קוגניטיבית</w:t>
      </w:r>
    </w:p>
    <w:p w14:paraId="7B46CE21" w14:textId="6410FECE"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לאורך כל הסיפור, ג’ו הוא דמות נעדרת קוגניטיבית. למרות ידידותם, המחבר אינו יודע דבר על עברו או על זהותו האמיתית. שתיקה הדדית זו משקפת את מה ששייט מתאר כ"לא מדובר" בטקסטים ספרותיים</w:t>
      </w:r>
      <w:r w:rsidRPr="002A0EE0">
        <w:rPr>
          <w:rFonts w:asciiTheme="majorBidi" w:hAnsiTheme="majorBidi" w:cstheme="majorBidi"/>
          <w:sz w:val="24"/>
          <w:szCs w:val="24"/>
          <w:lang w:bidi="ar-IQ"/>
        </w:rPr>
        <w:t>.</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16</w:t>
      </w:r>
      <w:r w:rsidRPr="00075A86">
        <w:rPr>
          <w:rFonts w:asciiTheme="majorBidi" w:hAnsiTheme="majorBidi" w:cstheme="majorBidi"/>
          <w:sz w:val="24"/>
          <w:szCs w:val="24"/>
          <w:vertAlign w:val="superscript"/>
          <w:lang w:bidi="ar-IQ"/>
        </w:rPr>
        <w:t xml:space="preserve"> ) </w:t>
      </w:r>
    </w:p>
    <w:p w14:paraId="665EB84E" w14:textId="7B0C0D0F"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המחבר קובע: "אני אדם סקרן, אבל מכבד את אופיו ושותק"</w:t>
      </w:r>
      <w:r w:rsidRPr="00075A86">
        <w:rPr>
          <w:rFonts w:asciiTheme="majorBidi" w:hAnsiTheme="majorBidi" w:cstheme="majorBidi"/>
          <w:sz w:val="24"/>
          <w:szCs w:val="24"/>
          <w:vertAlign w:val="superscript"/>
          <w:rtl/>
          <w:lang w:bidi="he-IL"/>
        </w:rPr>
        <w:t xml:space="preserve">( </w:t>
      </w:r>
      <w:r w:rsidR="00075A86" w:rsidRPr="00075A86">
        <w:rPr>
          <w:rFonts w:asciiTheme="majorBidi" w:hAnsiTheme="majorBidi" w:cstheme="majorBidi"/>
          <w:sz w:val="24"/>
          <w:szCs w:val="24"/>
          <w:vertAlign w:val="superscript"/>
          <w:lang w:bidi="ar-IQ"/>
        </w:rPr>
        <w:t>17</w:t>
      </w:r>
      <w:r w:rsidRPr="00075A86">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שתיקה זו משמרת את ההיעדרות והופכת אותן לחלק ממבנה הנרטיב</w:t>
      </w:r>
      <w:r w:rsidRPr="002A0EE0">
        <w:rPr>
          <w:rFonts w:asciiTheme="majorBidi" w:hAnsiTheme="majorBidi" w:cstheme="majorBidi"/>
          <w:sz w:val="24"/>
          <w:szCs w:val="24"/>
          <w:lang w:bidi="ar-IQ"/>
        </w:rPr>
        <w:t>.</w:t>
      </w:r>
    </w:p>
    <w:p w14:paraId="5AD17B5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היעדרות פיזית</w:t>
      </w:r>
    </w:p>
    <w:p w14:paraId="16B3D679" w14:textId="185DEBB1"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היעלמותו של ג'או לאחר המלחמה והפיכתו מאדם נוכח לאדם נעדר פיזית יוצרים פער בטקסט. כאשר מתגלה שנהרג, ההיעדרות הופכת לקבועה. דפוס היעדרות זה מתיישב עם ניתוחו של שיאט את מבנה הנרטיב של סיפורי נעדרים, שבו "נתיבי סיפור, כולל סופם, בנויים כסיפורי חיפוש ומסע</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18</w:t>
      </w:r>
      <w:r w:rsidRPr="00075A86">
        <w:rPr>
          <w:rFonts w:asciiTheme="majorBidi" w:hAnsiTheme="majorBidi" w:cstheme="majorBidi"/>
          <w:sz w:val="24"/>
          <w:szCs w:val="24"/>
          <w:vertAlign w:val="superscript"/>
          <w:lang w:bidi="ar-IQ"/>
        </w:rPr>
        <w:t xml:space="preserve"> )</w:t>
      </w:r>
      <w:r w:rsidRPr="002A0EE0">
        <w:rPr>
          <w:rFonts w:asciiTheme="majorBidi" w:hAnsiTheme="majorBidi" w:cstheme="majorBidi"/>
          <w:sz w:val="24"/>
          <w:szCs w:val="24"/>
          <w:rtl/>
          <w:lang w:bidi="ar-IQ"/>
        </w:rPr>
        <w:cr/>
      </w:r>
      <w:r w:rsidRPr="002A0EE0">
        <w:rPr>
          <w:rFonts w:asciiTheme="majorBidi" w:hAnsiTheme="majorBidi" w:cstheme="majorBidi"/>
          <w:sz w:val="24"/>
          <w:szCs w:val="24"/>
          <w:rtl/>
          <w:lang w:bidi="he-IL"/>
        </w:rPr>
        <w:t>היעדרות מפוצה</w:t>
      </w:r>
    </w:p>
    <w:p w14:paraId="0C37929D" w14:textId="6627A6DC"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צוואתו של ג'או חושפת צורה שלישית של היעדרות: היעדרות המפוצה באמצעות ירושה חומרית וסמלית. ג'או מוריש את רכושו למחבר ומבקש ממנו לקנות אופניים לילדי השכנים. פעולת פיצוי זו הופכת היעדרות לנוכחות באמצעות פעולה מוסרית. נוכחותו השנתית של המחבר בטקס של היחידה הצבאית הופכת גם היא לטקס ששומר על זכרו של ג’ו בחיים: "הצדעתי לג’ו. בדומיה. הנכדים עשו כמוני. עיניי נרטבו מדמעות</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19</w:t>
      </w:r>
      <w:r w:rsidRPr="00075A86">
        <w:rPr>
          <w:rFonts w:asciiTheme="majorBidi" w:hAnsiTheme="majorBidi" w:cstheme="majorBidi"/>
          <w:sz w:val="24"/>
          <w:szCs w:val="24"/>
          <w:vertAlign w:val="superscript"/>
          <w:lang w:bidi="ar-IQ"/>
        </w:rPr>
        <w:t xml:space="preserve"> )</w:t>
      </w:r>
      <w:r w:rsidRPr="002A0EE0">
        <w:rPr>
          <w:rFonts w:asciiTheme="majorBidi" w:hAnsiTheme="majorBidi" w:cstheme="majorBidi"/>
          <w:sz w:val="24"/>
          <w:szCs w:val="24"/>
          <w:lang w:bidi="ar-IQ"/>
        </w:rPr>
        <w:t xml:space="preserve"> </w:t>
      </w:r>
    </w:p>
    <w:p w14:paraId="4B003C6B" w14:textId="21E52F91"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ניתוח זה מצטלב עם קריאות ערביות של הספרות העברית, כמו רואה אחד החוקרים על "המולדת האבודה" ביצירותיו של סייד קשוע, אשר מעשיר את הבנתנו את ההיעדרות כבעיה קיומית.</w:t>
      </w:r>
      <w:r w:rsidRPr="00075A86">
        <w:rPr>
          <w:rFonts w:asciiTheme="majorBidi" w:hAnsiTheme="majorBidi" w:cstheme="majorBidi"/>
          <w:sz w:val="24"/>
          <w:szCs w:val="24"/>
          <w:vertAlign w:val="superscript"/>
          <w:rtl/>
          <w:lang w:bidi="he-IL"/>
        </w:rPr>
        <w:t xml:space="preserve">( </w:t>
      </w:r>
      <w:r w:rsidR="00075A86" w:rsidRPr="00075A86">
        <w:rPr>
          <w:rFonts w:asciiTheme="majorBidi" w:hAnsiTheme="majorBidi" w:cstheme="majorBidi"/>
          <w:sz w:val="24"/>
          <w:szCs w:val="24"/>
          <w:vertAlign w:val="superscript"/>
          <w:lang w:bidi="he-IL"/>
        </w:rPr>
        <w:t>20</w:t>
      </w:r>
      <w:r w:rsidRPr="00075A86">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באופן דומה, יצירות כמו הרומן "קובן הנעדרים" מציעות מודל ספרותי לחיפוש אחר החסר, המשקף את התפשטותה התרבותית של נושא זה. בהקשר זה, ניתן להתייחס למאמר באל ג'זירה כדי למסגר את הקשר בין ספרות להקשר הפוליטי הישראלי</w:t>
      </w:r>
      <w:r w:rsidRPr="00075A86">
        <w:rPr>
          <w:rFonts w:asciiTheme="majorBidi" w:hAnsiTheme="majorBidi" w:cstheme="majorBidi"/>
          <w:sz w:val="24"/>
          <w:szCs w:val="24"/>
          <w:vertAlign w:val="superscript"/>
          <w:lang w:bidi="ar-IQ"/>
        </w:rPr>
        <w:t>. (</w:t>
      </w:r>
      <w:r w:rsidR="00075A86" w:rsidRPr="00075A86">
        <w:rPr>
          <w:rFonts w:asciiTheme="majorBidi" w:hAnsiTheme="majorBidi" w:cstheme="majorBidi"/>
          <w:sz w:val="24"/>
          <w:szCs w:val="24"/>
          <w:vertAlign w:val="superscript"/>
          <w:lang w:bidi="ar-IQ"/>
        </w:rPr>
        <w:t>21</w:t>
      </w:r>
      <w:r w:rsidRPr="00075A86">
        <w:rPr>
          <w:rFonts w:asciiTheme="majorBidi" w:hAnsiTheme="majorBidi" w:cstheme="majorBidi"/>
          <w:sz w:val="24"/>
          <w:szCs w:val="24"/>
          <w:vertAlign w:val="superscript"/>
          <w:lang w:bidi="ar-IQ"/>
        </w:rPr>
        <w:t xml:space="preserve"> )</w:t>
      </w:r>
    </w:p>
    <w:p w14:paraId="631AB53A"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lastRenderedPageBreak/>
        <w:t>סטיית החיפוש</w:t>
      </w:r>
    </w:p>
    <w:p w14:paraId="12A7628A" w14:textId="705E959B"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 xml:space="preserve">לדברי כריסטופר בוקר, החיפוש הבסיסי מתפתח בשלבים: הקריאה, המסע, ההגעה והתסכול, הניסיון הסופי והמטרה, שמובילה לסוף טוב. </w:t>
      </w:r>
      <w:r w:rsidRPr="00075A86">
        <w:rPr>
          <w:rFonts w:asciiTheme="majorBidi" w:hAnsiTheme="majorBidi" w:cstheme="majorBidi"/>
          <w:sz w:val="24"/>
          <w:szCs w:val="24"/>
          <w:vertAlign w:val="superscript"/>
          <w:rtl/>
          <w:lang w:bidi="he-IL"/>
        </w:rPr>
        <w:t xml:space="preserve">( </w:t>
      </w:r>
      <w:r w:rsidR="00075A86" w:rsidRPr="00075A86">
        <w:rPr>
          <w:rFonts w:asciiTheme="majorBidi" w:hAnsiTheme="majorBidi" w:cstheme="majorBidi"/>
          <w:sz w:val="24"/>
          <w:szCs w:val="24"/>
          <w:vertAlign w:val="superscript"/>
          <w:lang w:bidi="he-IL"/>
        </w:rPr>
        <w:t>22</w:t>
      </w:r>
      <w:r w:rsidRPr="00075A86">
        <w:rPr>
          <w:rFonts w:asciiTheme="majorBidi" w:hAnsiTheme="majorBidi" w:cstheme="majorBidi"/>
          <w:sz w:val="24"/>
          <w:szCs w:val="24"/>
          <w:vertAlign w:val="superscript"/>
          <w:rtl/>
          <w:lang w:bidi="he-IL"/>
        </w:rPr>
        <w:t xml:space="preserve">) </w:t>
      </w:r>
      <w:r w:rsidRPr="002A0EE0">
        <w:rPr>
          <w:rFonts w:asciiTheme="majorBidi" w:hAnsiTheme="majorBidi" w:cstheme="majorBidi"/>
          <w:sz w:val="24"/>
          <w:szCs w:val="24"/>
          <w:rtl/>
          <w:lang w:bidi="he-IL"/>
        </w:rPr>
        <w:t>אך בסיפורו של ג’ו, יש סטייה ממודל זה. המטרה האמיתית של המסע - גילוי זהותו של ג’ו - לעולם אינה מושגת</w:t>
      </w:r>
      <w:r w:rsidRPr="002A0EE0">
        <w:rPr>
          <w:rFonts w:asciiTheme="majorBidi" w:hAnsiTheme="majorBidi" w:cstheme="majorBidi"/>
          <w:sz w:val="24"/>
          <w:szCs w:val="24"/>
          <w:lang w:bidi="ar-IQ"/>
        </w:rPr>
        <w:t>.</w:t>
      </w:r>
    </w:p>
    <w:p w14:paraId="3A7C1443" w14:textId="779E4388"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במקום שהמחבר יחפש את ג’ו, זהותו של ג’ו היא זו ש"מוצאת" את המחבר לאחר מותו באמצעות הצוואה. סטייה זו יוצרת את מה שצ'ייט מכנה "מבנה נרטיב המשימה הסוטה", המצביע על הפגם הבלתי אפשרי והבלתי הפיך בדילמת הנעדרים</w:t>
      </w:r>
      <w:r w:rsidRPr="00075A86">
        <w:rPr>
          <w:rFonts w:asciiTheme="majorBidi" w:hAnsiTheme="majorBidi" w:cstheme="majorBidi"/>
          <w:sz w:val="24"/>
          <w:szCs w:val="24"/>
          <w:vertAlign w:val="superscript"/>
          <w:lang w:bidi="ar-IQ"/>
        </w:rPr>
        <w:t>. (</w:t>
      </w:r>
      <w:r w:rsidR="00075A86" w:rsidRPr="00075A86">
        <w:rPr>
          <w:rFonts w:asciiTheme="majorBidi" w:hAnsiTheme="majorBidi" w:cstheme="majorBidi"/>
          <w:sz w:val="24"/>
          <w:szCs w:val="24"/>
          <w:vertAlign w:val="superscript"/>
          <w:lang w:bidi="ar-IQ"/>
        </w:rPr>
        <w:t>23</w:t>
      </w:r>
      <w:r w:rsidRPr="00075A86">
        <w:rPr>
          <w:rFonts w:asciiTheme="majorBidi" w:hAnsiTheme="majorBidi" w:cstheme="majorBidi"/>
          <w:sz w:val="24"/>
          <w:szCs w:val="24"/>
          <w:vertAlign w:val="superscript"/>
          <w:lang w:bidi="ar-IQ"/>
        </w:rPr>
        <w:t xml:space="preserve"> )</w:t>
      </w:r>
    </w:p>
    <w:p w14:paraId="452216CC" w14:textId="0D91ABB9"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 xml:space="preserve">מאצ'רי מציין גם כי כתיבה "מעוררת משהו שחסר, אחרת הוא לא היה נכתב" </w:t>
      </w:r>
      <w:r w:rsidRPr="00075A86">
        <w:rPr>
          <w:rFonts w:asciiTheme="majorBidi" w:hAnsiTheme="majorBidi" w:cstheme="majorBidi"/>
          <w:sz w:val="24"/>
          <w:szCs w:val="24"/>
          <w:vertAlign w:val="superscript"/>
          <w:rtl/>
          <w:lang w:bidi="he-IL"/>
        </w:rPr>
        <w:t xml:space="preserve">( </w:t>
      </w:r>
      <w:r w:rsidR="00075A86" w:rsidRPr="00075A86">
        <w:rPr>
          <w:rFonts w:asciiTheme="majorBidi" w:hAnsiTheme="majorBidi" w:cstheme="majorBidi"/>
          <w:sz w:val="24"/>
          <w:szCs w:val="24"/>
          <w:vertAlign w:val="superscript"/>
          <w:lang w:bidi="ar-IQ"/>
        </w:rPr>
        <w:t>24</w:t>
      </w:r>
      <w:r w:rsidRPr="00075A86">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וכאן הדבר החסר הוא זהותו האמיתית של ג’ו, שנעדר עד הסוף, ובכך שומר על הטקסט פתוח לנצח</w:t>
      </w:r>
      <w:r w:rsidRPr="002A0EE0">
        <w:rPr>
          <w:rFonts w:asciiTheme="majorBidi" w:hAnsiTheme="majorBidi" w:cstheme="majorBidi"/>
          <w:sz w:val="24"/>
          <w:szCs w:val="24"/>
          <w:lang w:bidi="ar-IQ"/>
        </w:rPr>
        <w:t>.</w:t>
      </w:r>
    </w:p>
    <w:p w14:paraId="47D15C63" w14:textId="2875A0AA"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כאשר מדברים על "היעדרות חיה" או "דימוי האב המחפש", דוגמה זו של חיפוש אחר הנעדרים כמצב פסיכולוגי וחברתי מוצאה הד במחקרים כמו הספר "נעדרים" הדן במנגנוני חיפוש הנעדרים והשפעתם על המשפחה והחברה</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25</w:t>
      </w:r>
      <w:r w:rsidRPr="002A0EE0">
        <w:rPr>
          <w:rFonts w:asciiTheme="majorBidi" w:hAnsiTheme="majorBidi" w:cstheme="majorBidi"/>
          <w:sz w:val="24"/>
          <w:szCs w:val="24"/>
          <w:lang w:bidi="ar-IQ"/>
        </w:rPr>
        <w:t xml:space="preserve"> </w:t>
      </w:r>
      <w:r w:rsidRPr="00075A86">
        <w:rPr>
          <w:rFonts w:asciiTheme="majorBidi" w:hAnsiTheme="majorBidi" w:cstheme="majorBidi"/>
          <w:sz w:val="24"/>
          <w:szCs w:val="24"/>
          <w:vertAlign w:val="superscript"/>
          <w:lang w:bidi="ar-IQ"/>
        </w:rPr>
        <w:t>)</w:t>
      </w:r>
    </w:p>
    <w:p w14:paraId="45D2185B"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הסיפור "פגישה עם נכה"- היעדרות והמשכיות למרות אובדן</w:t>
      </w:r>
    </w:p>
    <w:p w14:paraId="27FD4575"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הכותב פוגש גבר על כיסא גלגלים, אמנב בר יוסף, הנכה ב-100% מתאונה במהלך שירותו הצבאי</w:t>
      </w:r>
      <w:r w:rsidRPr="002A0EE0">
        <w:rPr>
          <w:rFonts w:asciiTheme="majorBidi" w:hAnsiTheme="majorBidi" w:cstheme="majorBidi"/>
          <w:sz w:val="24"/>
          <w:szCs w:val="24"/>
          <w:lang w:bidi="ar-IQ"/>
        </w:rPr>
        <w:t>.</w:t>
      </w:r>
    </w:p>
    <w:p w14:paraId="54144D4C" w14:textId="43A16609"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אני נכה צה"ל 100%, לא מקרב במלחמה. מתאונה קטלנית במחנה, במילויים</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26</w:t>
      </w:r>
      <w:r w:rsidRPr="00075A86">
        <w:rPr>
          <w:rFonts w:asciiTheme="majorBidi" w:hAnsiTheme="majorBidi" w:cstheme="majorBidi"/>
          <w:sz w:val="24"/>
          <w:szCs w:val="24"/>
          <w:vertAlign w:val="superscript"/>
          <w:lang w:bidi="ar-IQ"/>
        </w:rPr>
        <w:t xml:space="preserve"> )</w:t>
      </w:r>
    </w:p>
    <w:p w14:paraId="29E630E8"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הוא היה מאורס לבחורה שאהב, אך הוא שחרר אותה מהתחייבויותיה כלפיו</w:t>
      </w:r>
      <w:r w:rsidRPr="002A0EE0">
        <w:rPr>
          <w:rFonts w:asciiTheme="majorBidi" w:hAnsiTheme="majorBidi" w:cstheme="majorBidi"/>
          <w:sz w:val="24"/>
          <w:szCs w:val="24"/>
          <w:lang w:bidi="ar-IQ"/>
        </w:rPr>
        <w:t>:</w:t>
      </w:r>
    </w:p>
    <w:p w14:paraId="7EEEF504" w14:textId="21D43DAA"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כשנוכחתי לדעת ליושרה מה מצבי, שחררתי אותה מתחימותיה כלפיי</w:t>
      </w:r>
      <w:r w:rsidRPr="00075A86">
        <w:rPr>
          <w:rFonts w:asciiTheme="majorBidi" w:hAnsiTheme="majorBidi" w:cstheme="majorBidi"/>
          <w:sz w:val="24"/>
          <w:szCs w:val="24"/>
          <w:vertAlign w:val="superscript"/>
          <w:lang w:bidi="ar-IQ"/>
        </w:rPr>
        <w:t>"(</w:t>
      </w:r>
      <w:r w:rsidR="00075A86" w:rsidRPr="00075A86">
        <w:rPr>
          <w:rFonts w:asciiTheme="majorBidi" w:hAnsiTheme="majorBidi" w:cstheme="majorBidi"/>
          <w:sz w:val="24"/>
          <w:szCs w:val="24"/>
          <w:vertAlign w:val="superscript"/>
          <w:lang w:bidi="ar-IQ"/>
        </w:rPr>
        <w:t>27</w:t>
      </w:r>
      <w:r w:rsidRPr="00075A86">
        <w:rPr>
          <w:rFonts w:asciiTheme="majorBidi" w:hAnsiTheme="majorBidi" w:cstheme="majorBidi"/>
          <w:sz w:val="24"/>
          <w:szCs w:val="24"/>
          <w:vertAlign w:val="superscript"/>
          <w:lang w:bidi="ar-IQ"/>
        </w:rPr>
        <w:t xml:space="preserve"> )</w:t>
      </w:r>
    </w:p>
    <w:p w14:paraId="303A9842"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למרות מוגבלותו, האיש מוצא דרכים להמשיך: הוא עוזר לילד במתמטיקה, והופך למורה ובמאי תיאטרון לילדי השכונה. פעילותו מתרחבת עד שהוא צובר מוניטין של עוזר הוראה</w:t>
      </w:r>
      <w:r w:rsidRPr="002A0EE0">
        <w:rPr>
          <w:rFonts w:asciiTheme="majorBidi" w:hAnsiTheme="majorBidi" w:cstheme="majorBidi"/>
          <w:sz w:val="24"/>
          <w:szCs w:val="24"/>
          <w:lang w:bidi="ar-IQ"/>
        </w:rPr>
        <w:t>:</w:t>
      </w:r>
    </w:p>
    <w:p w14:paraId="52EFF4EA" w14:textId="717FDD00"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כנראה שהתפרסם המוניטין שלו כעוזר בלימודים והופיעו ילדים מהשכונה לשאול אם מוכן לעזור להם בהכנת שיעורים</w:t>
      </w:r>
      <w:r w:rsidRPr="002A0EE0">
        <w:rPr>
          <w:rFonts w:asciiTheme="majorBidi" w:hAnsiTheme="majorBidi" w:cstheme="majorBidi"/>
          <w:sz w:val="24"/>
          <w:szCs w:val="24"/>
          <w:lang w:bidi="ar-IQ"/>
        </w:rPr>
        <w:t>"</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28</w:t>
      </w:r>
      <w:r w:rsidRPr="00A27F6B">
        <w:rPr>
          <w:rFonts w:asciiTheme="majorBidi" w:hAnsiTheme="majorBidi" w:cstheme="majorBidi"/>
          <w:sz w:val="24"/>
          <w:szCs w:val="24"/>
          <w:vertAlign w:val="superscript"/>
          <w:lang w:bidi="ar-IQ"/>
        </w:rPr>
        <w:t xml:space="preserve"> )</w:t>
      </w:r>
    </w:p>
    <w:p w14:paraId="5A93A62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היעדרות חיה והמשכיות</w:t>
      </w:r>
    </w:p>
    <w:p w14:paraId="6D59E448"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סיפור זה מציג מודל שונה של היעדרות: היעדרות של יכולות פיזיות וחיים שהיו אפשריים. אמדנב אומר</w:t>
      </w:r>
      <w:r w:rsidRPr="002A0EE0">
        <w:rPr>
          <w:rFonts w:asciiTheme="majorBidi" w:hAnsiTheme="majorBidi" w:cstheme="majorBidi"/>
          <w:sz w:val="24"/>
          <w:szCs w:val="24"/>
          <w:lang w:bidi="ar-IQ"/>
        </w:rPr>
        <w:t>:</w:t>
      </w:r>
    </w:p>
    <w:p w14:paraId="2C978E40" w14:textId="514E400F"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הייתי בחור צעיר, מלא חיים, שמח ונמרץ, שופע ציפיות וחלומות, כל העתיד לפניי ופתאום... טראחזח... עלו מי חרב, הכל נגמר, נעלם</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29</w:t>
      </w:r>
      <w:r w:rsidRPr="00A27F6B">
        <w:rPr>
          <w:rFonts w:asciiTheme="majorBidi" w:hAnsiTheme="majorBidi" w:cstheme="majorBidi"/>
          <w:sz w:val="24"/>
          <w:szCs w:val="24"/>
          <w:vertAlign w:val="superscript"/>
          <w:lang w:bidi="ar-IQ"/>
        </w:rPr>
        <w:t xml:space="preserve"> )</w:t>
      </w:r>
      <w:r w:rsidRPr="002A0EE0">
        <w:rPr>
          <w:rFonts w:asciiTheme="majorBidi" w:hAnsiTheme="majorBidi" w:cstheme="majorBidi"/>
          <w:sz w:val="24"/>
          <w:szCs w:val="24"/>
          <w:lang w:bidi="ar-IQ"/>
        </w:rPr>
        <w:t>.</w:t>
      </w:r>
    </w:p>
    <w:p w14:paraId="4D38FCE6" w14:textId="41FC716A"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אבל הטקסט אינו נעצר בהיעדרות; אלא, הוא מראה כיצד ניתן לבנות מחדש את החיים למרות האובדן. אמדנב מוצאת משמעות חדשה באמצעות עזרה לאחרים, ומשקפת את מה שג'יימסון מציע: שהטקסט הספרותי "מציע פתרון למציאות החיצונית של הטקסט"</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ar-IQ"/>
        </w:rPr>
        <w:t>30</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היעדרות כאן אינה סוף, אלא נקודת מפנה</w:t>
      </w:r>
      <w:r w:rsidRPr="002A0EE0">
        <w:rPr>
          <w:rFonts w:asciiTheme="majorBidi" w:hAnsiTheme="majorBidi" w:cstheme="majorBidi"/>
          <w:sz w:val="24"/>
          <w:szCs w:val="24"/>
          <w:lang w:bidi="ar-IQ"/>
        </w:rPr>
        <w:t>.</w:t>
      </w:r>
    </w:p>
    <w:p w14:paraId="1E4AE09E" w14:textId="0C97D3EA"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זה מתיישב עם מה ששי"ת מציין: שסיפורי הנעדרים והפצועים מעלים "שאלות פוליטיות ומוסריות שונות מאלה שעולות במקרה של החיילים הנופלים</w:t>
      </w:r>
      <w:r w:rsidRPr="00A27F6B">
        <w:rPr>
          <w:rFonts w:asciiTheme="majorBidi" w:hAnsiTheme="majorBidi" w:cstheme="majorBidi"/>
          <w:sz w:val="24"/>
          <w:szCs w:val="24"/>
          <w:vertAlign w:val="superscript"/>
          <w:lang w:bidi="ar-IQ"/>
        </w:rPr>
        <w:t>" (</w:t>
      </w:r>
      <w:r w:rsidR="00A27F6B" w:rsidRPr="00A27F6B">
        <w:rPr>
          <w:rFonts w:asciiTheme="majorBidi" w:hAnsiTheme="majorBidi" w:cstheme="majorBidi"/>
          <w:sz w:val="24"/>
          <w:szCs w:val="24"/>
          <w:vertAlign w:val="superscript"/>
          <w:lang w:bidi="ar-IQ"/>
        </w:rPr>
        <w:t>31</w:t>
      </w:r>
      <w:r w:rsidRPr="00A27F6B">
        <w:rPr>
          <w:rFonts w:asciiTheme="majorBidi" w:hAnsiTheme="majorBidi" w:cstheme="majorBidi"/>
          <w:sz w:val="24"/>
          <w:szCs w:val="24"/>
          <w:vertAlign w:val="superscript"/>
          <w:lang w:bidi="ar-IQ"/>
        </w:rPr>
        <w:t xml:space="preserve"> )</w:t>
      </w:r>
      <w:r w:rsidRPr="002A0EE0">
        <w:rPr>
          <w:rFonts w:asciiTheme="majorBidi" w:hAnsiTheme="majorBidi" w:cstheme="majorBidi"/>
          <w:sz w:val="24"/>
          <w:szCs w:val="24"/>
          <w:lang w:bidi="ar-IQ"/>
        </w:rPr>
        <w:t xml:space="preserve">. </w:t>
      </w:r>
    </w:p>
    <w:p w14:paraId="3997D7CE"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הדוגמה המקראית של היעדרות לעומת הדוגמה הספרותית המודרנית</w:t>
      </w:r>
    </w:p>
    <w:p w14:paraId="113EBB7A" w14:textId="37A97AC5"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הדוגמה הספרותית המודרנית של היעדרות עומדת בניגוד לדוגמה המקראית. ב-(שמואל ב: ב, ל) אנו קוראים: "וַיָּשָׁב יוֹאָב מֵאַחֲרֵי אַבְנֵר, וַיִּקְבֹּץ אֶת-כָּל-הָעָם; וַיִּפָּקְדוּ, מֵעַבְדֵי דָוִד, תִּשְׁעָה-עָשָׂר אִישׁ, וַעֲשָׂהאֵל</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32</w:t>
      </w:r>
      <w:r w:rsidRPr="00A27F6B">
        <w:rPr>
          <w:rFonts w:asciiTheme="majorBidi" w:hAnsiTheme="majorBidi" w:cstheme="majorBidi"/>
          <w:sz w:val="24"/>
          <w:szCs w:val="24"/>
          <w:vertAlign w:val="superscript"/>
          <w:lang w:bidi="ar-IQ"/>
        </w:rPr>
        <w:t xml:space="preserve"> )</w:t>
      </w:r>
    </w:p>
    <w:p w14:paraId="2EAAEF4B"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בטקסט זה, היעדרות (אובדן) היא אירוע שנרשם ונספר, אך היא אינה מהווה את מוקד הנרטיב. ההבדל הוא מהותי: בתורה, היעדרות מוזכרת כנתון סטטיסטי; בספרות המודרנית, היעדרות הופכת לציר נרטיבי המניע את העלילה ויוצר מתח דרמטי</w:t>
      </w:r>
      <w:r w:rsidRPr="002A0EE0">
        <w:rPr>
          <w:rFonts w:asciiTheme="majorBidi" w:hAnsiTheme="majorBidi" w:cstheme="majorBidi"/>
          <w:sz w:val="24"/>
          <w:szCs w:val="24"/>
          <w:lang w:bidi="ar-IQ"/>
        </w:rPr>
        <w:t>.</w:t>
      </w:r>
    </w:p>
    <w:p w14:paraId="6EAADE05" w14:textId="7BD7AB55"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סתירה זו משקפת שינוי בתודעה הקולקטיבית מראיית מלחמה כאירוע אלוהי לראייתה כטרגדיה אנושית המייצרת אובדן והיעדרות מתמשכים. כפי שמציין שי"ת, ה"לא מדובר" בטקסטים אלה נושא לעתים קרובות ביקורת פוליטית וחברתית</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33</w:t>
      </w:r>
      <w:r w:rsidRPr="00A27F6B">
        <w:rPr>
          <w:rFonts w:asciiTheme="majorBidi" w:hAnsiTheme="majorBidi" w:cstheme="majorBidi"/>
          <w:sz w:val="24"/>
          <w:szCs w:val="24"/>
          <w:vertAlign w:val="superscript"/>
          <w:lang w:bidi="ar-IQ"/>
        </w:rPr>
        <w:t xml:space="preserve"> ).</w:t>
      </w:r>
    </w:p>
    <w:p w14:paraId="22F9FDD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פרק ב':  גוף החייל בין האסתטי לטרגי- הרטוריקה של פצע ונכות בסיפורים</w:t>
      </w:r>
      <w:r w:rsidRPr="002A0EE0">
        <w:rPr>
          <w:rFonts w:asciiTheme="majorBidi" w:hAnsiTheme="majorBidi" w:cstheme="majorBidi"/>
          <w:sz w:val="24"/>
          <w:szCs w:val="24"/>
          <w:lang w:bidi="ar-IQ"/>
        </w:rPr>
        <w:t xml:space="preserve"> </w:t>
      </w:r>
    </w:p>
    <w:p w14:paraId="6B8B6D41"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הגוף כמרחב סמנטי בספרות העברית</w:t>
      </w:r>
    </w:p>
    <w:p w14:paraId="5EEB3C24" w14:textId="1BD4DEEE"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 xml:space="preserve">בספרות העברית המודרנית, גוף החייל מהווה מרחב סמנטי הנושא את סימני האלימות והסכסוך, והופך מכלי של כוח הרואי למשטח עליו חרוטה שבריריות הקיום האנושי. המבקרת עדיה מנדלסון-מעוז מציינת כי הספרות העברית, ממלחמת העצמאות ועד ימינו, הציגה נרטיבים ועדויות מלחמה המתחלפים בין הצגתו של החייל כמבצע סבל </w:t>
      </w:r>
      <w:r w:rsidRPr="002A0EE0">
        <w:rPr>
          <w:rFonts w:asciiTheme="majorBidi" w:hAnsiTheme="majorBidi" w:cstheme="majorBidi"/>
          <w:sz w:val="24"/>
          <w:szCs w:val="24"/>
          <w:rtl/>
          <w:lang w:bidi="he-IL"/>
        </w:rPr>
        <w:lastRenderedPageBreak/>
        <w:t>לפלסטינים לבין הצגתו כקורבן של המערכת הצבאית והפוליטית. עמדה כפולה זו (יורים ובוכים) משקפת את הסתירה הבסיסית בחוויית החייל הישראלי: הוא בו זמנית הסוכן והאובייקט, יצרן האלימות וקורבנה</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34</w:t>
      </w:r>
      <w:r w:rsidRPr="00A27F6B">
        <w:rPr>
          <w:rFonts w:asciiTheme="majorBidi" w:hAnsiTheme="majorBidi" w:cstheme="majorBidi"/>
          <w:sz w:val="24"/>
          <w:szCs w:val="24"/>
          <w:vertAlign w:val="superscript"/>
          <w:lang w:bidi="ar-IQ"/>
        </w:rPr>
        <w:t xml:space="preserve"> )</w:t>
      </w:r>
    </w:p>
    <w:p w14:paraId="016F0FB7" w14:textId="50791E76"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בהקשר זה, גוף החייל מייצג נקודת התכנסות בין האסתטי לטרגי, כאשר הפצע הפיזי מתואר כמטאפורה לפצע הפסיכולוגי והלאומי. כפי שמנדלסון-מעוז מסבירה במחקרה על "מזל מוסרי", חיילים בטקסטים ספרותיים מוצאים את עצמם במצב של חוסר מזל מוסרי, בין אם נסיבתי (נובע מכיבוש) ובין אם מעצב (נובע מתהליך הסוציאליזציה הצבאית).</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he-IL"/>
        </w:rPr>
        <w:t>35</w:t>
      </w:r>
      <w:r w:rsidRPr="00A27F6B">
        <w:rPr>
          <w:rFonts w:asciiTheme="majorBidi" w:hAnsiTheme="majorBidi" w:cstheme="majorBidi"/>
          <w:sz w:val="24"/>
          <w:szCs w:val="24"/>
          <w:vertAlign w:val="superscript"/>
          <w:rtl/>
          <w:lang w:bidi="he-IL"/>
        </w:rPr>
        <w:t xml:space="preserve">) </w:t>
      </w:r>
      <w:r w:rsidRPr="002A0EE0">
        <w:rPr>
          <w:rFonts w:asciiTheme="majorBidi" w:hAnsiTheme="majorBidi" w:cstheme="majorBidi"/>
          <w:sz w:val="24"/>
          <w:szCs w:val="24"/>
          <w:rtl/>
          <w:lang w:bidi="he-IL"/>
        </w:rPr>
        <w:t>מצב זה הופך את גופו של החייל מכלי מלחמה לישות מעונה, שהרזון, נכותו או שתיקתו נושאים את חותמה של המערכת שיצרה אותו</w:t>
      </w:r>
      <w:r w:rsidRPr="002A0EE0">
        <w:rPr>
          <w:rFonts w:asciiTheme="majorBidi" w:hAnsiTheme="majorBidi" w:cstheme="majorBidi"/>
          <w:sz w:val="24"/>
          <w:szCs w:val="24"/>
          <w:lang w:bidi="ar-IQ"/>
        </w:rPr>
        <w:t>.</w:t>
      </w:r>
    </w:p>
    <w:p w14:paraId="1CBAA2C5"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גופו הדקיק והמסתורי של החייל- ניתוח גופו של "ג’ו" בסיפור "ג’ו</w:t>
      </w:r>
      <w:r w:rsidRPr="002A0EE0">
        <w:rPr>
          <w:rFonts w:asciiTheme="majorBidi" w:hAnsiTheme="majorBidi" w:cstheme="majorBidi"/>
          <w:sz w:val="24"/>
          <w:szCs w:val="24"/>
          <w:lang w:bidi="ar-IQ"/>
        </w:rPr>
        <w:t>"</w:t>
      </w:r>
    </w:p>
    <w:p w14:paraId="3F031764" w14:textId="7A2F419A"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מחקרים ספרותיים מראים כי ייצוג הגוף בספרות המלחמה העברית עבר מהאדרת הגוף הלוחם לתיאור הגוף הפצוע והמקוטע כמטאפורה לטראומה לאומית ואישית</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ar-IQ"/>
        </w:rPr>
        <w:t>36</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בסיפורי האינתיפאדה, למשל, חיילים מתוארים לעתים קרובות כסובלים מתחושות אחריות, אשמה ובלבול, כמו גם ממצב של דיסאוריינטציה אישית ואובדן זהות. </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ar-IQ"/>
        </w:rPr>
        <w:t>37</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גופו הרזה של ג’ו מגלם את הדיסאוריינטציה הזו עוד לפני שהוא נפצע או נהרג; הוא חייל, אך חסר לו כל אחת מהתכונות הצפויות של כוח צבאי</w:t>
      </w:r>
      <w:r w:rsidRPr="002A0EE0">
        <w:rPr>
          <w:rFonts w:asciiTheme="majorBidi" w:hAnsiTheme="majorBidi" w:cstheme="majorBidi"/>
          <w:sz w:val="24"/>
          <w:szCs w:val="24"/>
          <w:lang w:bidi="ar-IQ"/>
        </w:rPr>
        <w:t>.</w:t>
      </w:r>
    </w:p>
    <w:p w14:paraId="74A522AA" w14:textId="01F4B712"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מנדלסון-מעוז מציינת כי הספרות העברית של תקופת האינתיפאדה מעלה שאלות אתיות עמוקות בנוגע לשימוש בכוח צבאי, טבעה של ישראל כדמוקרטיה, הדואליות של אזרחים שהם גם חיילים, ואופי גידולם של הדורות הצעירים.</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w:t>
      </w:r>
      <w:r w:rsidR="00A27F6B" w:rsidRPr="00A27F6B">
        <w:rPr>
          <w:rFonts w:asciiTheme="majorBidi" w:hAnsiTheme="majorBidi" w:cstheme="majorBidi"/>
          <w:sz w:val="24"/>
          <w:szCs w:val="24"/>
          <w:vertAlign w:val="superscript"/>
          <w:lang w:bidi="he-IL"/>
        </w:rPr>
        <w:t>38</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בהקשר זה, גופו הרזה של ג’ו הופך לשאלה על משמעות היותך חייל בחברה המהללת כוח, כאשר החייל עצמו חלש וחידתי</w:t>
      </w:r>
      <w:r w:rsidRPr="002A0EE0">
        <w:rPr>
          <w:rFonts w:asciiTheme="majorBidi" w:hAnsiTheme="majorBidi" w:cstheme="majorBidi"/>
          <w:sz w:val="24"/>
          <w:szCs w:val="24"/>
          <w:lang w:bidi="ar-IQ"/>
        </w:rPr>
        <w:t>.</w:t>
      </w:r>
    </w:p>
    <w:p w14:paraId="7E2FD947"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תיאור הגוף הרזה</w:t>
      </w:r>
    </w:p>
    <w:p w14:paraId="0CAF6D03"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בסיפור "ג’ו" מתאר המספר את גופתו של החייל המסתורי במונחים תמציתיים אך סמליים ביותר</w:t>
      </w:r>
      <w:r w:rsidRPr="002A0EE0">
        <w:rPr>
          <w:rFonts w:asciiTheme="majorBidi" w:hAnsiTheme="majorBidi" w:cstheme="majorBidi"/>
          <w:sz w:val="24"/>
          <w:szCs w:val="24"/>
          <w:lang w:bidi="ar-IQ"/>
        </w:rPr>
        <w:t>:</w:t>
      </w:r>
    </w:p>
    <w:p w14:paraId="40F5B513" w14:textId="7E1D3538"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פעם התיישב בשולחני בחור די רזה וגובחו בינוני. נדמה שגילן כשלי. שקט ונימוסי, לא הירבהבימלים</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39</w:t>
      </w:r>
      <w:r w:rsidRPr="00A27F6B">
        <w:rPr>
          <w:rFonts w:asciiTheme="majorBidi" w:hAnsiTheme="majorBidi" w:cstheme="majorBidi"/>
          <w:sz w:val="24"/>
          <w:szCs w:val="24"/>
          <w:vertAlign w:val="superscript"/>
          <w:lang w:bidi="ar-IQ"/>
        </w:rPr>
        <w:t xml:space="preserve"> )</w:t>
      </w:r>
      <w:r w:rsidRPr="002A0EE0">
        <w:rPr>
          <w:rFonts w:asciiTheme="majorBidi" w:hAnsiTheme="majorBidi" w:cstheme="majorBidi"/>
          <w:sz w:val="24"/>
          <w:szCs w:val="24"/>
          <w:lang w:bidi="ar-IQ"/>
        </w:rPr>
        <w:t xml:space="preserve"> </w:t>
      </w:r>
    </w:p>
    <w:p w14:paraId="2D308174" w14:textId="418F930A"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תיאור הגוף כ"רזה" אינו רק מאפיין גופני, אלא גם רומז למצב פסיכולוגי וחברתי. ג’ו הוא מהגר חדש, אניגמטי ושתק, שחי חיים שוליים בחדר שכור. גופו הרזה משקף את חוסר נוכחותו החברתית ואת דחיקתו בחברה הישראלית. מבנה גוף זה מתנגש עם תדמית "היהודי השרירי" שמקודמת על ידי הציונות כתגובה לתדמית היהודי החלש בתפוצות</w:t>
      </w:r>
      <w:r w:rsidRPr="00A27F6B">
        <w:rPr>
          <w:rFonts w:asciiTheme="majorBidi" w:hAnsiTheme="majorBidi" w:cstheme="majorBidi"/>
          <w:sz w:val="24"/>
          <w:szCs w:val="24"/>
          <w:vertAlign w:val="superscript"/>
          <w:lang w:bidi="ar-IQ"/>
        </w:rPr>
        <w:t>. (</w:t>
      </w:r>
      <w:r w:rsidR="00A27F6B" w:rsidRPr="00A27F6B">
        <w:rPr>
          <w:rFonts w:asciiTheme="majorBidi" w:hAnsiTheme="majorBidi" w:cstheme="majorBidi"/>
          <w:sz w:val="24"/>
          <w:szCs w:val="24"/>
          <w:vertAlign w:val="superscript"/>
          <w:lang w:bidi="ar-IQ"/>
        </w:rPr>
        <w:t>40</w:t>
      </w:r>
      <w:r w:rsidRPr="00A27F6B">
        <w:rPr>
          <w:rFonts w:asciiTheme="majorBidi" w:hAnsiTheme="majorBidi" w:cstheme="majorBidi"/>
          <w:sz w:val="24"/>
          <w:szCs w:val="24"/>
          <w:vertAlign w:val="superscript"/>
          <w:lang w:bidi="ar-IQ"/>
        </w:rPr>
        <w:t xml:space="preserve"> )</w:t>
      </w:r>
    </w:p>
    <w:p w14:paraId="38E31A08"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השימוש הנרטיבי בגוף הרזה</w:t>
      </w:r>
      <w:r w:rsidRPr="002A0EE0">
        <w:rPr>
          <w:rFonts w:asciiTheme="majorBidi" w:hAnsiTheme="majorBidi" w:cstheme="majorBidi"/>
          <w:sz w:val="24"/>
          <w:szCs w:val="24"/>
          <w:lang w:bidi="ar-IQ"/>
        </w:rPr>
        <w:t>:</w:t>
      </w:r>
    </w:p>
    <w:p w14:paraId="7B6A650B"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רזון כמטאפורה לעמימות: גופו הרזה של ג’ו חסר את התכונות הפיזיות הצפויות מחייל, ובכך מחליש את האדרת ההרואיקה ומדגיש את המתח בין תפקידו כחייל לבין גופו השברירי</w:t>
      </w:r>
      <w:r w:rsidRPr="002A0EE0">
        <w:rPr>
          <w:rFonts w:asciiTheme="majorBidi" w:hAnsiTheme="majorBidi" w:cstheme="majorBidi"/>
          <w:sz w:val="24"/>
          <w:szCs w:val="24"/>
          <w:lang w:bidi="ar-IQ"/>
        </w:rPr>
        <w:t>.</w:t>
      </w:r>
    </w:p>
    <w:p w14:paraId="3BB3436B"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הגוף כאוטוביוגרפיה לא שלמה: כאשר ג’ו מת, המספר אינו יודע דבר על חייו. גופו הרזה במהלך חייו הופך לסמל להיעדר זהות, כאילו הרזון היה סמן לריקנות של האוטוביוגרפיה שלו</w:t>
      </w:r>
      <w:r w:rsidRPr="002A0EE0">
        <w:rPr>
          <w:rFonts w:asciiTheme="majorBidi" w:hAnsiTheme="majorBidi" w:cstheme="majorBidi"/>
          <w:sz w:val="24"/>
          <w:szCs w:val="24"/>
          <w:lang w:bidi="ar-IQ"/>
        </w:rPr>
        <w:t>.</w:t>
      </w:r>
    </w:p>
    <w:p w14:paraId="672E336A" w14:textId="3C08BD7A"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וגוף: המספר אומר על ג’ו: "שקט ונימוסי, לא הירבה בימלים"</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he-IL"/>
        </w:rPr>
        <w:t>41</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שתיקה לשונית זו מצולמת עם הגוף הרזה, ויחד יוצרות את דמותו של החייל הלא שלם, שנותר אניגמטי גם לאחר מותו</w:t>
      </w:r>
      <w:r w:rsidRPr="002A0EE0">
        <w:rPr>
          <w:rFonts w:asciiTheme="majorBidi" w:hAnsiTheme="majorBidi" w:cstheme="majorBidi"/>
          <w:sz w:val="24"/>
          <w:szCs w:val="24"/>
          <w:lang w:bidi="ar-IQ"/>
        </w:rPr>
        <w:t>.</w:t>
      </w:r>
    </w:p>
    <w:p w14:paraId="727757A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גופו של החייל הנכה- נכות ככתוב על הגוף בסיפור "פגישה עם נכה</w:t>
      </w:r>
      <w:r w:rsidRPr="002A0EE0">
        <w:rPr>
          <w:rFonts w:asciiTheme="majorBidi" w:hAnsiTheme="majorBidi" w:cstheme="majorBidi"/>
          <w:sz w:val="24"/>
          <w:szCs w:val="24"/>
          <w:lang w:bidi="ar-IQ"/>
        </w:rPr>
        <w:t>"</w:t>
      </w:r>
    </w:p>
    <w:p w14:paraId="676A7BF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תיאוריית המזל המוסרי ותפיסת החייל כקורבן</w:t>
      </w:r>
      <w:r w:rsidRPr="002A0EE0">
        <w:rPr>
          <w:rFonts w:asciiTheme="majorBidi" w:hAnsiTheme="majorBidi" w:cstheme="majorBidi"/>
          <w:sz w:val="24"/>
          <w:szCs w:val="24"/>
          <w:lang w:bidi="ar-IQ"/>
        </w:rPr>
        <w:t>:</w:t>
      </w:r>
    </w:p>
    <w:p w14:paraId="7B223B32" w14:textId="2B137541"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סיפורו של עמינדב הוא גילום ספרותי של מושג "מזל מוסרי רע",</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he-IL"/>
        </w:rPr>
        <w:t>42</w:t>
      </w:r>
      <w:r w:rsidRPr="00A27F6B">
        <w:rPr>
          <w:rFonts w:asciiTheme="majorBidi" w:hAnsiTheme="majorBidi" w:cstheme="majorBidi"/>
          <w:sz w:val="24"/>
          <w:szCs w:val="24"/>
          <w:vertAlign w:val="superscript"/>
          <w:rtl/>
          <w:lang w:bidi="he-IL"/>
        </w:rPr>
        <w:t xml:space="preserve">) </w:t>
      </w:r>
      <w:r w:rsidRPr="002A0EE0">
        <w:rPr>
          <w:rFonts w:asciiTheme="majorBidi" w:hAnsiTheme="majorBidi" w:cstheme="majorBidi"/>
          <w:sz w:val="24"/>
          <w:szCs w:val="24"/>
          <w:rtl/>
          <w:lang w:bidi="he-IL"/>
        </w:rPr>
        <w:t>שטבע הפילוסוף תומאס נגל ויושם על הספרות העברית על ידי מנדלסון-מעוז. המושג מתייחס למצב שבו סוכן מוסרי מואשם או משבח על פעולה, למרות שחלק ניכר ממה שהוא עושה תלוי בגורמים שאינם בשליטתו.</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ar-IQ"/>
        </w:rPr>
        <w:t>43</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עמינדב לא בחר להיפגע בתאונה במהלך שירותו במילואים, אך הוא נושא את תוצאות הפגיעה הזו למשך שארית חייו. אקראיות זו הופכת אותו מחייל לקורבן של מערכת צבאית שאין לו שליטה עליה</w:t>
      </w:r>
      <w:r w:rsidRPr="002A0EE0">
        <w:rPr>
          <w:rFonts w:asciiTheme="majorBidi" w:hAnsiTheme="majorBidi" w:cstheme="majorBidi"/>
          <w:sz w:val="24"/>
          <w:szCs w:val="24"/>
          <w:lang w:bidi="ar-IQ"/>
        </w:rPr>
        <w:t>.</w:t>
      </w:r>
    </w:p>
    <w:p w14:paraId="6B45DB28" w14:textId="436879B9"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דואליות החייל כמבצע וקורבן: כפי שמציינת מנדלסון-מעוז, החייל בספרות העברית מתואר לעיתים בעמדה כפולה: כמבצע אלימות (נגד פלסטינים) ובו זמנית כקורבן של המערכת הצבאית</w:t>
      </w:r>
      <w:r w:rsidRPr="00A27F6B">
        <w:rPr>
          <w:rFonts w:asciiTheme="majorBidi" w:hAnsiTheme="majorBidi" w:cstheme="majorBidi"/>
          <w:sz w:val="24"/>
          <w:szCs w:val="24"/>
          <w:vertAlign w:val="superscript"/>
          <w:rtl/>
          <w:lang w:bidi="he-IL"/>
        </w:rPr>
        <w:t>.(</w:t>
      </w:r>
      <w:r w:rsidR="00A27F6B" w:rsidRPr="00A27F6B">
        <w:rPr>
          <w:rFonts w:asciiTheme="majorBidi" w:hAnsiTheme="majorBidi" w:cstheme="majorBidi"/>
          <w:sz w:val="24"/>
          <w:szCs w:val="24"/>
          <w:vertAlign w:val="superscript"/>
          <w:lang w:bidi="he-IL"/>
        </w:rPr>
        <w:t>44</w:t>
      </w:r>
      <w:r w:rsidRPr="00A27F6B">
        <w:rPr>
          <w:rFonts w:asciiTheme="majorBidi" w:hAnsiTheme="majorBidi" w:cstheme="majorBidi"/>
          <w:sz w:val="24"/>
          <w:szCs w:val="24"/>
          <w:vertAlign w:val="superscript"/>
          <w:rtl/>
          <w:lang w:bidi="he-IL"/>
        </w:rPr>
        <w:t xml:space="preserve"> )</w:t>
      </w:r>
      <w:r w:rsidRPr="002A0EE0">
        <w:rPr>
          <w:rFonts w:asciiTheme="majorBidi" w:hAnsiTheme="majorBidi" w:cstheme="majorBidi"/>
          <w:sz w:val="24"/>
          <w:szCs w:val="24"/>
          <w:rtl/>
          <w:lang w:bidi="he-IL"/>
        </w:rPr>
        <w:t xml:space="preserve"> עמינדב, למרות היותו חייל ישראלי, אינו מתואר בעמדת כוח או דומיננטיות, אלא בעמדה של פגיעות מוחלטת. נכותו שוללת ממנו כל דימוי הרואי, וחושפת אותו כבן אדם רגיל שנפל קורבן לנסיבות שאינן בשליטתו. ניגוד זה בין דימוי החייל החזק לחייל הנכה יוצר מתח דרמטי המפרק את השיח הלאומני</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45</w:t>
      </w:r>
      <w:r w:rsidRPr="00A27F6B">
        <w:rPr>
          <w:rFonts w:asciiTheme="majorBidi" w:hAnsiTheme="majorBidi" w:cstheme="majorBidi"/>
          <w:sz w:val="24"/>
          <w:szCs w:val="24"/>
          <w:vertAlign w:val="superscript"/>
          <w:lang w:bidi="ar-IQ"/>
        </w:rPr>
        <w:t xml:space="preserve"> )</w:t>
      </w:r>
    </w:p>
    <w:p w14:paraId="71F5803E" w14:textId="5D1A4968" w:rsidR="002A0EE0" w:rsidRPr="002A0EE0" w:rsidRDefault="002A0EE0" w:rsidP="00A27F6B">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הגוף כאתר של טראומה לאומית: בעקבות מלחמת יום הכיפורים (1973), הספרות העברית חוותה מעבר מהאדרת הגוף הלוחם לייצוג הגוף הפצוע והשבור כמטאפורה לטראומה לאומית.</w:t>
      </w:r>
      <w:r w:rsidRPr="00A27F6B">
        <w:rPr>
          <w:rFonts w:asciiTheme="majorBidi" w:hAnsiTheme="majorBidi" w:cstheme="majorBidi"/>
          <w:sz w:val="24"/>
          <w:szCs w:val="24"/>
          <w:vertAlign w:val="superscript"/>
          <w:rtl/>
          <w:lang w:bidi="he-IL"/>
        </w:rPr>
        <w:t>(</w:t>
      </w:r>
      <w:r w:rsidR="00A27F6B" w:rsidRPr="00A27F6B">
        <w:rPr>
          <w:rFonts w:asciiTheme="majorBidi" w:hAnsiTheme="majorBidi" w:cstheme="majorBidi"/>
          <w:sz w:val="24"/>
          <w:szCs w:val="24"/>
          <w:vertAlign w:val="superscript"/>
          <w:lang w:bidi="he-IL"/>
        </w:rPr>
        <w:t>46</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עמינדב, שנכותו נבעה מתאונה ולא מקרב, </w:t>
      </w:r>
      <w:r w:rsidRPr="002A0EE0">
        <w:rPr>
          <w:rFonts w:asciiTheme="majorBidi" w:hAnsiTheme="majorBidi" w:cstheme="majorBidi"/>
          <w:sz w:val="24"/>
          <w:szCs w:val="24"/>
          <w:rtl/>
          <w:lang w:bidi="he-IL"/>
        </w:rPr>
        <w:lastRenderedPageBreak/>
        <w:t>מגלם את הטראומה הזו בצורה עמוקה יותר: החייל נפצע לא בעימות עם האויב, אלא בלב הממסד הצבאי עצמו. דבר זה מרמז שאלימות אינה מקורה אך ורק מבחוץ, אלא נוצר גם מבפנים</w:t>
      </w:r>
      <w:r w:rsidRPr="002A0EE0">
        <w:rPr>
          <w:rFonts w:asciiTheme="majorBidi" w:hAnsiTheme="majorBidi" w:cstheme="majorBidi"/>
          <w:sz w:val="24"/>
          <w:szCs w:val="24"/>
          <w:lang w:bidi="ar-IQ"/>
        </w:rPr>
        <w:t>.</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47</w:t>
      </w:r>
      <w:r w:rsidRPr="00A27F6B">
        <w:rPr>
          <w:rFonts w:asciiTheme="majorBidi" w:hAnsiTheme="majorBidi" w:cstheme="majorBidi"/>
          <w:sz w:val="24"/>
          <w:szCs w:val="24"/>
          <w:vertAlign w:val="superscript"/>
          <w:lang w:bidi="ar-IQ"/>
        </w:rPr>
        <w:t xml:space="preserve"> )</w:t>
      </w:r>
    </w:p>
    <w:p w14:paraId="7245CE52"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נכות כתוצר של שירות צבאי</w:t>
      </w:r>
    </w:p>
    <w:p w14:paraId="7B090D1B"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בסיפור "פגישה עם נכה", ייצוג הגוף מגיע לשיאו הטרגי, כאשר עמינדב, החייל הנכה, חושף את אופי פציעתו</w:t>
      </w:r>
      <w:r w:rsidRPr="002A0EE0">
        <w:rPr>
          <w:rFonts w:asciiTheme="majorBidi" w:hAnsiTheme="majorBidi" w:cstheme="majorBidi"/>
          <w:sz w:val="24"/>
          <w:szCs w:val="24"/>
          <w:lang w:bidi="ar-IQ"/>
        </w:rPr>
        <w:t>:</w:t>
      </w:r>
    </w:p>
    <w:p w14:paraId="2548C59D" w14:textId="547F009C"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אני נכה צה"ל 100%, לא מקרב במלחמה. מתאונה קטלנית במחנה, במילויים</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48</w:t>
      </w:r>
      <w:r w:rsidRPr="00A27F6B">
        <w:rPr>
          <w:rFonts w:asciiTheme="majorBidi" w:hAnsiTheme="majorBidi" w:cstheme="majorBidi"/>
          <w:sz w:val="24"/>
          <w:szCs w:val="24"/>
          <w:vertAlign w:val="superscript"/>
          <w:lang w:bidi="ar-IQ"/>
        </w:rPr>
        <w:t xml:space="preserve"> )</w:t>
      </w:r>
    </w:p>
    <w:p w14:paraId="73D1D4CD"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הוא ממשיך ומתאר את חיי היומיום שלו</w:t>
      </w:r>
      <w:r w:rsidRPr="002A0EE0">
        <w:rPr>
          <w:rFonts w:asciiTheme="majorBidi" w:hAnsiTheme="majorBidi" w:cstheme="majorBidi"/>
          <w:sz w:val="24"/>
          <w:szCs w:val="24"/>
          <w:lang w:bidi="ar-IQ"/>
        </w:rPr>
        <w:t>:</w:t>
      </w:r>
    </w:p>
    <w:p w14:paraId="53DDA239" w14:textId="274734BE"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לשבת כל היום בכיסא גלגלים ולהסתכל על כלום</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49</w:t>
      </w:r>
      <w:r w:rsidRPr="00A27F6B">
        <w:rPr>
          <w:rFonts w:asciiTheme="majorBidi" w:hAnsiTheme="majorBidi" w:cstheme="majorBidi"/>
          <w:sz w:val="24"/>
          <w:szCs w:val="24"/>
          <w:vertAlign w:val="superscript"/>
          <w:lang w:bidi="ar-IQ"/>
        </w:rPr>
        <w:t xml:space="preserve"> )</w:t>
      </w:r>
    </w:p>
    <w:p w14:paraId="78A55851"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לאחר מכן הוא מתאר את מצבו הפסיכולוגי</w:t>
      </w:r>
      <w:r w:rsidRPr="002A0EE0">
        <w:rPr>
          <w:rFonts w:asciiTheme="majorBidi" w:hAnsiTheme="majorBidi" w:cstheme="majorBidi"/>
          <w:sz w:val="24"/>
          <w:szCs w:val="24"/>
          <w:lang w:bidi="ar-IQ"/>
        </w:rPr>
        <w:t>:</w:t>
      </w:r>
    </w:p>
    <w:p w14:paraId="7A3A260A" w14:textId="71BF2F38"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הייתי בחור צעיר, מלא חיים, שמח ונמרץ, שופע ציפיות וחלומות, כל העתיד לפניי ופתאום... טראחזח... עלו מי חרב, הכל נגמר, נעלם... ראה מה שנאשר- נכה 100% על גלגלים... חשבתי לשים קץ למצבי, אבל לא היה לי האומץ</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50</w:t>
      </w:r>
      <w:r w:rsidRPr="00A27F6B">
        <w:rPr>
          <w:rFonts w:asciiTheme="majorBidi" w:hAnsiTheme="majorBidi" w:cstheme="majorBidi"/>
          <w:sz w:val="24"/>
          <w:szCs w:val="24"/>
          <w:vertAlign w:val="superscript"/>
          <w:lang w:bidi="ar-IQ"/>
        </w:rPr>
        <w:t xml:space="preserve"> )</w:t>
      </w:r>
    </w:p>
    <w:p w14:paraId="23D24F5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נכות כתוצר של מקריות, לא גבורה: עמינדב נכה לא בקרב, אלא בתאונה במהלך שירות מילואים. פרט זה הוא קריטי מבחינה ספרותית: הפגיעה אינה סימן של גבורה, אלא תוצאה אבסורדית של מקריות. החייל כאן אינו קדוש מעונה לאומי, אלא קורבן של מערכת צבאית שמייצרת נכות כתופעת לוואי, לא כאובדן בקרב נגד האויב. זה מפרק את המיתוס ההרואי הקשור לחייל הפצוע ומדגיש את ההיבטים הטרגיים והאבסורדיים של השירות הצבאי</w:t>
      </w:r>
      <w:r w:rsidRPr="002A0EE0">
        <w:rPr>
          <w:rFonts w:asciiTheme="majorBidi" w:hAnsiTheme="majorBidi" w:cstheme="majorBidi"/>
          <w:sz w:val="24"/>
          <w:szCs w:val="24"/>
          <w:lang w:bidi="ar-IQ"/>
        </w:rPr>
        <w:t>.</w:t>
      </w:r>
    </w:p>
    <w:p w14:paraId="563A59E7"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כיסא הגלגלים כמטאפורה נרטיבית: כיסא הגלגלים של עמינדב הופך למטאפורה נרטיבית לחיים עצמם- תנועה מוגבלת, תלות באחרים ובידוד. כאשר הוא אומר, "לשבת כל היום בכיסא גללים ולהסתכל על כלום", הוא הופך את הנכות ממצב פיזי למצב קיומי, שבו החייל הופך לאסיר של מרחב שאינו מכיל שום עתיד. כיסא הגלגלים הוא גבול חדש שמוטל על ידי השירות הצבאי, אך הוא אינו גבול לאומי; הוא גבול אישי</w:t>
      </w:r>
      <w:r w:rsidRPr="002A0EE0">
        <w:rPr>
          <w:rFonts w:asciiTheme="majorBidi" w:hAnsiTheme="majorBidi" w:cstheme="majorBidi"/>
          <w:sz w:val="24"/>
          <w:szCs w:val="24"/>
          <w:lang w:bidi="ar-IQ"/>
        </w:rPr>
        <w:t>.</w:t>
      </w:r>
    </w:p>
    <w:p w14:paraId="1797CD9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הגוף כאוטוביוגרפיה שבורה: עמינדב מתאר את עצמו לפני התאונה: "הייתי צעיר, מלא חיים, שמח וגאה". ניגוד זה בין עבר להווה מדגיש את הקרע הזמני שנגרם על ידי הנכות. גוף הנכה אינו רק גוף פצוע, אלא נרטיב מקוטע, חיים המחולקים ל"לפני" ו"אחרי". החייל כאן הופך לדמות טרגית במובן הקלאסי: גיבור עם עבר מזהיר המושלך לתהום של נכות</w:t>
      </w:r>
      <w:r w:rsidRPr="002A0EE0">
        <w:rPr>
          <w:rFonts w:asciiTheme="majorBidi" w:hAnsiTheme="majorBidi" w:cstheme="majorBidi"/>
          <w:sz w:val="24"/>
          <w:szCs w:val="24"/>
          <w:lang w:bidi="ar-IQ"/>
        </w:rPr>
        <w:t>.</w:t>
      </w:r>
    </w:p>
    <w:p w14:paraId="35B69EBA" w14:textId="4E835B26"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ניסיון לבנות מחדש את העצמי באמצעות הגוף הנכה: למרות נכותו, עמינדב מנסה לבנות מחדש את חייו על ידי עזרה לילדים בלימודיהם. אך הסוף נותר פתוח: הוא חוזר לגור עם הוריו, ו"לעולם לא נתראה שוב"</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he-IL"/>
        </w:rPr>
        <w:t>51</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הגוף הנכה כאן אינו מוצא מקום בחברה. הוא נשאר במצב של נדודים וחיפוש שייכות</w:t>
      </w:r>
      <w:r w:rsidRPr="002A0EE0">
        <w:rPr>
          <w:rFonts w:asciiTheme="majorBidi" w:hAnsiTheme="majorBidi" w:cstheme="majorBidi"/>
          <w:sz w:val="24"/>
          <w:szCs w:val="24"/>
          <w:lang w:bidi="ar-IQ"/>
        </w:rPr>
        <w:t>.</w:t>
      </w:r>
    </w:p>
    <w:p w14:paraId="39F417FE"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הגוף בין נוכחות להיעדרות- היעדרות הגוף בסיפור "ג’ו" לאחר המוות</w:t>
      </w:r>
    </w:p>
    <w:p w14:paraId="64493D9E"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זיכרון והיעדרות בספרות נעדרים</w:t>
      </w:r>
      <w:r w:rsidRPr="002A0EE0">
        <w:rPr>
          <w:rFonts w:asciiTheme="majorBidi" w:hAnsiTheme="majorBidi" w:cstheme="majorBidi"/>
          <w:sz w:val="24"/>
          <w:szCs w:val="24"/>
          <w:lang w:bidi="ar-IQ"/>
        </w:rPr>
        <w:t>:</w:t>
      </w:r>
    </w:p>
    <w:p w14:paraId="68CDC823" w14:textId="204C988C"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החוקרת הדי שיט מציינת שסיפורי נעדרים מסתמכים על מבנה של מסע וחיפוש, כאשר היעדרותו של החייל מהווה תמריץ נרטיבי לחקר העצמי ומערכות יחסים משפחתיות</w:t>
      </w:r>
      <w:r w:rsidRPr="00A27F6B">
        <w:rPr>
          <w:rFonts w:asciiTheme="majorBidi" w:hAnsiTheme="majorBidi" w:cstheme="majorBidi"/>
          <w:sz w:val="24"/>
          <w:szCs w:val="24"/>
          <w:vertAlign w:val="superscript"/>
          <w:rtl/>
          <w:lang w:bidi="he-IL"/>
        </w:rPr>
        <w:t>.(</w:t>
      </w:r>
      <w:r w:rsidR="00A27F6B" w:rsidRPr="00A27F6B">
        <w:rPr>
          <w:rFonts w:asciiTheme="majorBidi" w:hAnsiTheme="majorBidi" w:cstheme="majorBidi"/>
          <w:sz w:val="24"/>
          <w:szCs w:val="24"/>
          <w:vertAlign w:val="superscript"/>
          <w:lang w:bidi="ar-IQ"/>
        </w:rPr>
        <w:t>52</w:t>
      </w:r>
      <w:r w:rsidRPr="00A27F6B">
        <w:rPr>
          <w:rFonts w:asciiTheme="majorBidi" w:hAnsiTheme="majorBidi" w:cstheme="majorBidi"/>
          <w:sz w:val="24"/>
          <w:szCs w:val="24"/>
          <w:vertAlign w:val="superscript"/>
          <w:rtl/>
          <w:lang w:bidi="he-IL"/>
        </w:rPr>
        <w:t xml:space="preserve"> )</w:t>
      </w:r>
      <w:r w:rsidRPr="002A0EE0">
        <w:rPr>
          <w:rFonts w:asciiTheme="majorBidi" w:hAnsiTheme="majorBidi" w:cstheme="majorBidi"/>
          <w:sz w:val="24"/>
          <w:szCs w:val="24"/>
          <w:rtl/>
          <w:lang w:bidi="he-IL"/>
        </w:rPr>
        <w:t xml:space="preserve"> בסיפוריו של מנדל, היעדרות אינה מוגבלת להיעדרות פיזית, אלא משתרעת על שתיקה לשונית, שבה החייל נמנע מלגלות את עצמו, מה שהופך אותו מדמות לחידתה. גופתו הנעדרת של ג’ו לאחר מותו מעצימה את המסתורין הזה: הוא לא היה ידוע בחייו, והוא הופך לחידתי עוד יותר לאחר מותו</w:t>
      </w:r>
      <w:r w:rsidRPr="002A0EE0">
        <w:rPr>
          <w:rFonts w:asciiTheme="majorBidi" w:hAnsiTheme="majorBidi" w:cstheme="majorBidi"/>
          <w:sz w:val="24"/>
          <w:szCs w:val="24"/>
          <w:lang w:bidi="ar-IQ"/>
        </w:rPr>
        <w:t>.</w:t>
      </w:r>
    </w:p>
    <w:p w14:paraId="3983DC9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האנדרטה והגופה כתוצאה מכך</w:t>
      </w:r>
      <w:r w:rsidRPr="002A0EE0">
        <w:rPr>
          <w:rFonts w:asciiTheme="majorBidi" w:hAnsiTheme="majorBidi" w:cstheme="majorBidi"/>
          <w:sz w:val="24"/>
          <w:szCs w:val="24"/>
          <w:lang w:bidi="ar-IQ"/>
        </w:rPr>
        <w:t>:</w:t>
      </w:r>
    </w:p>
    <w:p w14:paraId="12B1E8E5" w14:textId="3585013C"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כפי שניתן לראות באנדרטאות לחיילים אלמונים, היעדר הגופה הופך את החייל לסמל של ניכור אנושי בחברה מלאה בחיילים נשכחים.</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he-IL"/>
        </w:rPr>
        <w:t>53</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בסיפורו של ג’ו, המספר עצמו הופך לאנדרטה מהלכת, עונד את מדליית חברו ומבקר בקברו מדי שנה, אך אינו יכול למלא את החלל שהותירה הגופה החסרה</w:t>
      </w:r>
      <w:r w:rsidRPr="002A0EE0">
        <w:rPr>
          <w:rFonts w:asciiTheme="majorBidi" w:hAnsiTheme="majorBidi" w:cstheme="majorBidi"/>
          <w:sz w:val="24"/>
          <w:szCs w:val="24"/>
          <w:lang w:bidi="ar-IQ"/>
        </w:rPr>
        <w:t>.</w:t>
      </w:r>
    </w:p>
    <w:p w14:paraId="4E40457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 xml:space="preserve"> </w:t>
      </w:r>
      <w:r w:rsidRPr="002A0EE0">
        <w:rPr>
          <w:rFonts w:asciiTheme="majorBidi" w:hAnsiTheme="majorBidi" w:cstheme="majorBidi"/>
          <w:sz w:val="24"/>
          <w:szCs w:val="24"/>
          <w:rtl/>
          <w:lang w:bidi="he-IL"/>
        </w:rPr>
        <w:t>היעדרות ונוכחות הגוף דרך הזיכרון</w:t>
      </w:r>
    </w:p>
    <w:p w14:paraId="12B61A3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בסיפור "ג’ו", נוכחות הגוף לאחר המוות הופכת להיעדרות, אך היעדרות זו הופכת לנוכחות דרך הזיכרון וטקסי הנצחה. המספר מתאר את סצנת ביקורו בקברו של ג’ו לאחר חמישים שנה</w:t>
      </w:r>
      <w:r w:rsidRPr="002A0EE0">
        <w:rPr>
          <w:rFonts w:asciiTheme="majorBidi" w:hAnsiTheme="majorBidi" w:cstheme="majorBidi"/>
          <w:sz w:val="24"/>
          <w:szCs w:val="24"/>
          <w:lang w:bidi="ar-IQ"/>
        </w:rPr>
        <w:t>:</w:t>
      </w:r>
    </w:p>
    <w:p w14:paraId="6F1848A1" w14:textId="4A8D347C"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הצדעתי לג׳ו. בדומיה. הנכדים עשו כמוני. עיניי נרטבו מדמעות</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54</w:t>
      </w:r>
      <w:r w:rsidRPr="00A27F6B">
        <w:rPr>
          <w:rFonts w:asciiTheme="majorBidi" w:hAnsiTheme="majorBidi" w:cstheme="majorBidi"/>
          <w:sz w:val="24"/>
          <w:szCs w:val="24"/>
          <w:vertAlign w:val="superscript"/>
          <w:lang w:bidi="ar-IQ"/>
        </w:rPr>
        <w:t xml:space="preserve"> )</w:t>
      </w:r>
    </w:p>
    <w:p w14:paraId="11A73F7A"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לפני זה תיאור הסצנה בה הוא נושא את עיטור האומץ</w:t>
      </w:r>
      <w:r w:rsidRPr="002A0EE0">
        <w:rPr>
          <w:rFonts w:asciiTheme="majorBidi" w:hAnsiTheme="majorBidi" w:cstheme="majorBidi"/>
          <w:sz w:val="24"/>
          <w:szCs w:val="24"/>
          <w:lang w:bidi="ar-IQ"/>
        </w:rPr>
        <w:t>:</w:t>
      </w:r>
    </w:p>
    <w:p w14:paraId="583AEFE1" w14:textId="26236326"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לי מסרו מדליון, שלחו בסרט כחול-לבן על צווארי, צל"ש שהוענק לג’ו על גבורתו בקרב</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55</w:t>
      </w:r>
      <w:r w:rsidRPr="00A27F6B">
        <w:rPr>
          <w:rFonts w:asciiTheme="majorBidi" w:hAnsiTheme="majorBidi" w:cstheme="majorBidi"/>
          <w:sz w:val="24"/>
          <w:szCs w:val="24"/>
          <w:vertAlign w:val="superscript"/>
          <w:lang w:bidi="ar-IQ"/>
        </w:rPr>
        <w:t xml:space="preserve"> )</w:t>
      </w:r>
    </w:p>
    <w:p w14:paraId="68116C4B"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הגוף הנעדר כנוכחות סמלית</w:t>
      </w:r>
      <w:r w:rsidRPr="002A0EE0">
        <w:rPr>
          <w:rFonts w:asciiTheme="majorBidi" w:hAnsiTheme="majorBidi" w:cstheme="majorBidi"/>
          <w:sz w:val="24"/>
          <w:szCs w:val="24"/>
          <w:lang w:bidi="ar-IQ"/>
        </w:rPr>
        <w:t>:</w:t>
      </w:r>
    </w:p>
    <w:p w14:paraId="7F74661D"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lastRenderedPageBreak/>
        <w:t>ג’ו נעדר פיזית, אך גופו נוכח דרך המדליה (עיטור) שהמספר עונד, דרך הקבר שהוא מבקר בו, ודרך טקס ההצדעה הצבאית השקטה. נוכחות סמלית זו הופכת את החייל מאדם לסמל, מגוף פיזי לזכר בזיכרון. אך זכר זה נושא בתוכו את אותה עמימות: ג’ו נותר אניגמטי בחייו, ונשאר אניגמטי במותו</w:t>
      </w:r>
      <w:r w:rsidRPr="002A0EE0">
        <w:rPr>
          <w:rFonts w:asciiTheme="majorBidi" w:hAnsiTheme="majorBidi" w:cstheme="majorBidi"/>
          <w:sz w:val="24"/>
          <w:szCs w:val="24"/>
          <w:lang w:bidi="ar-IQ"/>
        </w:rPr>
        <w:t>.</w:t>
      </w:r>
    </w:p>
    <w:p w14:paraId="2F7E63D1"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המדליה כתחליף לגוף</w:t>
      </w:r>
      <w:r w:rsidRPr="002A0EE0">
        <w:rPr>
          <w:rFonts w:asciiTheme="majorBidi" w:hAnsiTheme="majorBidi" w:cstheme="majorBidi"/>
          <w:sz w:val="24"/>
          <w:szCs w:val="24"/>
          <w:lang w:bidi="ar-IQ"/>
        </w:rPr>
        <w:t>:</w:t>
      </w:r>
    </w:p>
    <w:p w14:paraId="1EC81761" w14:textId="369F6413"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המספר עונד את המדליה של ג’ו על חזהו: "עונד בגווה את העיטור של ג’ו תלוי על צווארי"</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he-IL"/>
        </w:rPr>
        <w:t>56</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המדליה הופכת לגוף חלופי, פיסת מתכת הנושאת את שמו וזכרו של החייל. אך היא אינה גוף. לא מציאות, אלא ייצוג שלה. ייצוג זה משחזר את המסתורין: המדליה אומרת שג’ו היה גיבור, אך אינה מציינת מי היה ג’ו</w:t>
      </w:r>
      <w:r w:rsidRPr="002A0EE0">
        <w:rPr>
          <w:rFonts w:asciiTheme="majorBidi" w:hAnsiTheme="majorBidi" w:cstheme="majorBidi"/>
          <w:sz w:val="24"/>
          <w:szCs w:val="24"/>
          <w:lang w:bidi="ar-IQ"/>
        </w:rPr>
        <w:t>.</w:t>
      </w:r>
    </w:p>
    <w:p w14:paraId="7D359E87"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הגופה בטקס הזיכרון</w:t>
      </w:r>
      <w:r w:rsidRPr="002A0EE0">
        <w:rPr>
          <w:rFonts w:asciiTheme="majorBidi" w:hAnsiTheme="majorBidi" w:cstheme="majorBidi"/>
          <w:sz w:val="24"/>
          <w:szCs w:val="24"/>
          <w:lang w:bidi="ar-IQ"/>
        </w:rPr>
        <w:t>:</w:t>
      </w:r>
    </w:p>
    <w:p w14:paraId="0D0FAD63"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סצנת העמידה מול הקבר עם שני הנכדים הופכת את הגוף הנעדר לחוליה בין דורות. אך קשר זה אינו חגיגי אלא עצוב ומטיל ספק. הגוף הנעדר אינו מציע תשובות, אלא מעלה שאלות: מי היה ג’ו באמת? מדוע בחר המספר בטרגדיה היחידה שלו</w:t>
      </w:r>
      <w:r w:rsidRPr="002A0EE0">
        <w:rPr>
          <w:rFonts w:asciiTheme="majorBidi" w:hAnsiTheme="majorBidi" w:cstheme="majorBidi"/>
          <w:sz w:val="24"/>
          <w:szCs w:val="24"/>
          <w:lang w:bidi="ar-IQ"/>
        </w:rPr>
        <w:t>?</w:t>
      </w:r>
    </w:p>
    <w:p w14:paraId="2D7B6AAF"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הגוף כמטאפורה לניכור- היעדר גוף החייל בסיפורים אחרים</w:t>
      </w:r>
    </w:p>
    <w:p w14:paraId="72B88C7E" w14:textId="1BCEFA61"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בסיפורים אחרים, גוף החייל מופיע כמטאפורה לניכור בהיעדרו המוחלט. בסיפור "אודי בארץ הפלאות", הילד אודי פוגש עולם פנטסטי, אך החייל נעדר לחלוטין מהסיפור. היעדרות זו מעבירה את המוקד מקונפליקט "אנחנו נגדם" למאבקו של החייל/ילד עם עצמו, גופו וזכרונו.</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he-IL"/>
        </w:rPr>
        <w:t>57</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השמטה זו אינה מקרית אלא בחירה ספרותית מכוונת, המצביעה על כך שהקונפליקט האמיתי אינו חיצוני אלא פנימי, השוכן בתוך הגוף והזיכרון</w:t>
      </w:r>
      <w:r w:rsidRPr="002A0EE0">
        <w:rPr>
          <w:rFonts w:asciiTheme="majorBidi" w:hAnsiTheme="majorBidi" w:cstheme="majorBidi"/>
          <w:sz w:val="24"/>
          <w:szCs w:val="24"/>
          <w:lang w:bidi="ar-IQ"/>
        </w:rPr>
        <w:t>.</w:t>
      </w:r>
    </w:p>
    <w:p w14:paraId="2CF2C492" w14:textId="6E682E08"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בסיפור "השועל והענבים שלי", החייל נעדר לחלוטין, מוחלף על ידי בעל חיים. ניתן לפרש את הטרנספורמציה הזו מחייל לחיה, מגוף אדם לחיה, כמטאפורה לבריחתו של הסופר ממציאות האלימות לעולם של ילדות ותמימות, שבו פצעים ומוות אינם קיימים</w:t>
      </w:r>
      <w:r w:rsidRPr="002A0EE0">
        <w:rPr>
          <w:rFonts w:asciiTheme="majorBidi" w:hAnsiTheme="majorBidi" w:cstheme="majorBidi"/>
          <w:sz w:val="24"/>
          <w:szCs w:val="24"/>
          <w:lang w:bidi="ar-IQ"/>
        </w:rPr>
        <w:t>.</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58</w:t>
      </w:r>
      <w:r w:rsidRPr="00A27F6B">
        <w:rPr>
          <w:rFonts w:asciiTheme="majorBidi" w:hAnsiTheme="majorBidi" w:cstheme="majorBidi"/>
          <w:sz w:val="24"/>
          <w:szCs w:val="24"/>
          <w:vertAlign w:val="superscript"/>
          <w:lang w:bidi="ar-IQ"/>
        </w:rPr>
        <w:t xml:space="preserve"> )</w:t>
      </w:r>
    </w:p>
    <w:p w14:paraId="786BE62F"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לקראת הרטוריקה של הגוף הפצוע בספרות מנדל ניתוח גופות החיילים בסיפוריו של נחום מנדל חושף דימוי מורכב וסותר של החייל הישראלי</w:t>
      </w:r>
      <w:r w:rsidRPr="002A0EE0">
        <w:rPr>
          <w:rFonts w:asciiTheme="majorBidi" w:hAnsiTheme="majorBidi" w:cstheme="majorBidi"/>
          <w:sz w:val="24"/>
          <w:szCs w:val="24"/>
          <w:lang w:bidi="ar-IQ"/>
        </w:rPr>
        <w:t>:</w:t>
      </w:r>
    </w:p>
    <w:p w14:paraId="5E6A8E6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הגוף הרזה (ג’ו): גוף נטול תכונות הרואיות, המשקף עמימות, שוליים וניכור</w:t>
      </w:r>
      <w:r w:rsidRPr="002A0EE0">
        <w:rPr>
          <w:rFonts w:asciiTheme="majorBidi" w:hAnsiTheme="majorBidi" w:cstheme="majorBidi"/>
          <w:sz w:val="24"/>
          <w:szCs w:val="24"/>
          <w:lang w:bidi="ar-IQ"/>
        </w:rPr>
        <w:t>.</w:t>
      </w:r>
    </w:p>
    <w:p w14:paraId="38E63D5E"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הגוף הנכה (עמינדב): גוף ההופך לכלא, הנושא את סימני המקרה והמערכת הצבאית, ומעלה שאלות על משמעות החיים לאחר השירות</w:t>
      </w:r>
      <w:r w:rsidRPr="002A0EE0">
        <w:rPr>
          <w:rFonts w:asciiTheme="majorBidi" w:hAnsiTheme="majorBidi" w:cstheme="majorBidi"/>
          <w:sz w:val="24"/>
          <w:szCs w:val="24"/>
          <w:lang w:bidi="ar-IQ"/>
        </w:rPr>
        <w:t>.</w:t>
      </w:r>
    </w:p>
    <w:p w14:paraId="73CD163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הגוף הנעדר (ג’ו לאחר המוות): גוף שהופך לסמל ולזיכרון, אך נותר נעדר, המשקף את חוסר האפשרות למלא את החלל שהותיר המוות</w:t>
      </w:r>
      <w:r w:rsidRPr="002A0EE0">
        <w:rPr>
          <w:rFonts w:asciiTheme="majorBidi" w:hAnsiTheme="majorBidi" w:cstheme="majorBidi"/>
          <w:sz w:val="24"/>
          <w:szCs w:val="24"/>
          <w:lang w:bidi="ar-IQ"/>
        </w:rPr>
        <w:t>.</w:t>
      </w:r>
    </w:p>
    <w:p w14:paraId="1DDA185F"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בכלל, סיפוריו של מנדל מציגים חייל אנושי ושברירי, רחוק מהמיתוס, אך קרוב למציאות היומיומית על כאבה וסתירותיה. החייל כאן אינו גיבור ולא בוגד, אלא אדם רגיל שנקלע לנסיבות יוצאות דופן, מנסה להציל את גופו וזכרו ממערכת אלימה ולעתים קרובות אדישה</w:t>
      </w:r>
      <w:r w:rsidRPr="002A0EE0">
        <w:rPr>
          <w:rFonts w:asciiTheme="majorBidi" w:hAnsiTheme="majorBidi" w:cstheme="majorBidi"/>
          <w:sz w:val="24"/>
          <w:szCs w:val="24"/>
          <w:lang w:bidi="ar-IQ"/>
        </w:rPr>
        <w:t>.</w:t>
      </w:r>
    </w:p>
    <w:p w14:paraId="4F36A8E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פרק ג': שתיקה כאסטרטגיה נרטיבית- החייל כהיעדר לשוני וזהות לא שלמה</w:t>
      </w:r>
    </w:p>
    <w:p w14:paraId="7EFAC97C"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כמרחב סמנטי בספרות החיילים העברית</w:t>
      </w:r>
    </w:p>
    <w:p w14:paraId="761087E4" w14:textId="2DBADE18"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בספרות החיילים העברית המודרנית, שתיקה מהווה אסטרטגיה נרטיבית החורגת מהיעדר הדיבור גרידא, והופכת למרחב סמנטי הנושא משמעויות מעבר להישג ידה של השפה הישירה. מחקר ספרותי מצביע על כך שסיפורי חיילים נעדרים מסתמכים על מבנה המסע והחיפוש, כאשר היעדרותו של החייל- פיזית ולשונית כאחד- משמשת כתנופה נרטיבית לחקר העצמי ומערכות היחסים המשפחתיות.</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he-IL"/>
        </w:rPr>
        <w:t>59</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בסיפוריו של נחום מנדל, היעדרות אינה מוגבלת לגוף אלא משתרעת על שתיקה לשונית, והופכת את החייל מדמות לחידתה, מישות חברתית למצב קיומי</w:t>
      </w:r>
      <w:r w:rsidRPr="002A0EE0">
        <w:rPr>
          <w:rFonts w:asciiTheme="majorBidi" w:hAnsiTheme="majorBidi" w:cstheme="majorBidi"/>
          <w:sz w:val="24"/>
          <w:szCs w:val="24"/>
          <w:lang w:bidi="ar-IQ"/>
        </w:rPr>
        <w:t>.</w:t>
      </w:r>
    </w:p>
    <w:p w14:paraId="733A1AC1"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שתיקת החייל כהיעדר זהות- ניתוח הדמות "ג’ו" בסיפור ג’ו</w:t>
      </w:r>
    </w:p>
    <w:p w14:paraId="172151BB"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בסיפור "ג’ו" המספר מצייר את תמונת החייל המסתורי דרך המאפיין הבולט ביותר שלו- שתיקה</w:t>
      </w:r>
      <w:r w:rsidRPr="002A0EE0">
        <w:rPr>
          <w:rFonts w:asciiTheme="majorBidi" w:hAnsiTheme="majorBidi" w:cstheme="majorBidi"/>
          <w:sz w:val="24"/>
          <w:szCs w:val="24"/>
          <w:lang w:bidi="ar-IQ"/>
        </w:rPr>
        <w:t>:</w:t>
      </w:r>
    </w:p>
    <w:p w14:paraId="744930E5" w14:textId="74E71BDA"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בחור די רזה וגובחו בינוני... שקט ונימוסי, לא הירבהבימלים... מעולם לא סיפר לי את שמו האמתי ולא הוסיף שום דבר כמידע נוסף</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60</w:t>
      </w:r>
      <w:r w:rsidRPr="00A27F6B">
        <w:rPr>
          <w:rFonts w:asciiTheme="majorBidi" w:hAnsiTheme="majorBidi" w:cstheme="majorBidi"/>
          <w:sz w:val="24"/>
          <w:szCs w:val="24"/>
          <w:vertAlign w:val="superscript"/>
          <w:lang w:bidi="ar-IQ"/>
        </w:rPr>
        <w:t xml:space="preserve"> )</w:t>
      </w:r>
      <w:r w:rsidRPr="002A0EE0">
        <w:rPr>
          <w:rFonts w:asciiTheme="majorBidi" w:hAnsiTheme="majorBidi" w:cstheme="majorBidi"/>
          <w:sz w:val="24"/>
          <w:szCs w:val="24"/>
          <w:lang w:bidi="ar-IQ"/>
        </w:rPr>
        <w:t xml:space="preserve"> </w:t>
      </w:r>
    </w:p>
    <w:p w14:paraId="36E5C9B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המספר חוזר על מודעותו לבורותו לחייו של ג’ו למרות חברותם ארוכת השנים</w:t>
      </w:r>
      <w:r w:rsidRPr="002A0EE0">
        <w:rPr>
          <w:rFonts w:asciiTheme="majorBidi" w:hAnsiTheme="majorBidi" w:cstheme="majorBidi"/>
          <w:sz w:val="24"/>
          <w:szCs w:val="24"/>
          <w:lang w:bidi="ar-IQ"/>
        </w:rPr>
        <w:t>:</w:t>
      </w:r>
    </w:p>
    <w:p w14:paraId="28782329" w14:textId="612471EE"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ממנו לא שמעתי יותר נתונים. אני חושד שהוא מחפש את חברתי משום שאני אינני מטרטר את מוחו עם שאלות חתרניות ועם פטפוטי סרק</w:t>
      </w:r>
      <w:r w:rsidRPr="00A27F6B">
        <w:rPr>
          <w:rFonts w:asciiTheme="majorBidi" w:hAnsiTheme="majorBidi" w:cstheme="majorBidi"/>
          <w:sz w:val="24"/>
          <w:szCs w:val="24"/>
          <w:vertAlign w:val="superscript"/>
          <w:lang w:bidi="ar-IQ"/>
        </w:rPr>
        <w:t>"(</w:t>
      </w:r>
      <w:r w:rsidR="00A27F6B" w:rsidRPr="00A27F6B">
        <w:rPr>
          <w:rFonts w:asciiTheme="majorBidi" w:hAnsiTheme="majorBidi" w:cstheme="majorBidi"/>
          <w:sz w:val="24"/>
          <w:szCs w:val="24"/>
          <w:vertAlign w:val="superscript"/>
          <w:lang w:bidi="ar-IQ"/>
        </w:rPr>
        <w:t>61</w:t>
      </w:r>
      <w:r w:rsidRPr="00A27F6B">
        <w:rPr>
          <w:rFonts w:asciiTheme="majorBidi" w:hAnsiTheme="majorBidi" w:cstheme="majorBidi"/>
          <w:sz w:val="24"/>
          <w:szCs w:val="24"/>
          <w:vertAlign w:val="superscript"/>
          <w:lang w:bidi="ar-IQ"/>
        </w:rPr>
        <w:t xml:space="preserve"> )</w:t>
      </w:r>
    </w:p>
    <w:p w14:paraId="23E99FC8"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כחלופה לזהות</w:t>
      </w:r>
      <w:r w:rsidRPr="002A0EE0">
        <w:rPr>
          <w:rFonts w:asciiTheme="majorBidi" w:hAnsiTheme="majorBidi" w:cstheme="majorBidi"/>
          <w:sz w:val="24"/>
          <w:szCs w:val="24"/>
          <w:lang w:bidi="ar-IQ"/>
        </w:rPr>
        <w:t>:</w:t>
      </w:r>
    </w:p>
    <w:p w14:paraId="54A384DC"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lastRenderedPageBreak/>
        <w:t>שתיקתו של ג’ו אינה רק מאפיין אישי, אלא אסטרטגיה קיומית המשקפת את ניכורו בחברה הישראלית. כחייל עולה שזה עתה הגיע, לג’ו יש איכות אניגמטית שאינה ניתנת לקטגוריה: הוא חייל אך אינו מדבר על שירותו, עולה אך אינו מספר את סיפורו, בן אדם אך נותר בלתי ידוע אפילו לחבריו הקרובים. שתיקה זו הופכת אותו מחייל לחידה, מדמות למצב של הוויה</w:t>
      </w:r>
      <w:r w:rsidRPr="002A0EE0">
        <w:rPr>
          <w:rFonts w:asciiTheme="majorBidi" w:hAnsiTheme="majorBidi" w:cstheme="majorBidi"/>
          <w:sz w:val="24"/>
          <w:szCs w:val="24"/>
          <w:lang w:bidi="ar-IQ"/>
        </w:rPr>
        <w:t>.</w:t>
      </w:r>
    </w:p>
    <w:p w14:paraId="202CD785"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כטקס ייחודי של חברות</w:t>
      </w:r>
      <w:r w:rsidRPr="002A0EE0">
        <w:rPr>
          <w:rFonts w:asciiTheme="majorBidi" w:hAnsiTheme="majorBidi" w:cstheme="majorBidi"/>
          <w:sz w:val="24"/>
          <w:szCs w:val="24"/>
          <w:lang w:bidi="ar-IQ"/>
        </w:rPr>
        <w:t>:</w:t>
      </w:r>
    </w:p>
    <w:p w14:paraId="7354DCDC"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המספר אומר: "אני חושד שהוא מחפש את חברתי משום שאני אינני מטרטר את מוחו עם שאלות", ביטוי זה מגלה ששתיקה אינה רק מאפיין של ג’ו, אלא תנאי מוקדם לחברות עצמה. מערכת היחסים בין המספר לג’ו מבוססת על היעדר שאלות, על כיבוד הריק. זה יוצר פרדוקס: חברו הקרוב ביותר של ג’ו הוא זה שאינו יודע עליו דבר. חברות כאן אינה בנויה על ידע, אלא על גבולות וכבוד שלילי</w:t>
      </w:r>
      <w:r w:rsidRPr="002A0EE0">
        <w:rPr>
          <w:rFonts w:asciiTheme="majorBidi" w:hAnsiTheme="majorBidi" w:cstheme="majorBidi"/>
          <w:sz w:val="24"/>
          <w:szCs w:val="24"/>
          <w:lang w:bidi="ar-IQ"/>
        </w:rPr>
        <w:t>.</w:t>
      </w:r>
    </w:p>
    <w:p w14:paraId="19A9D212"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כאסטרטגיה נרטיבית</w:t>
      </w:r>
      <w:r w:rsidRPr="002A0EE0">
        <w:rPr>
          <w:rFonts w:asciiTheme="majorBidi" w:hAnsiTheme="majorBidi" w:cstheme="majorBidi"/>
          <w:sz w:val="24"/>
          <w:szCs w:val="24"/>
          <w:lang w:bidi="ar-IQ"/>
        </w:rPr>
        <w:t xml:space="preserve">: </w:t>
      </w:r>
    </w:p>
    <w:p w14:paraId="22ECB09E" w14:textId="72E1EDA0" w:rsidR="002A0EE0" w:rsidRPr="002A0EE0" w:rsidRDefault="002A0EE0" w:rsidP="00A27F6B">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הודאתו של המספר בבורותו המכוונת בנוגע לחייו של ג’ו יוצרת חלל סמנטי שהקורא ממלא בפרשנויותיו שלו. שתיקה נרטיבית זו דומה למה שמנדלסון-מעוז מתארת בניתוחה את הספרות העברית, שם חיילים מתוארים בעמדה כפולה: הם סוכנים (חיילים) אך גם אובייקטים (קורבנות של מערכת שאינם מבינים).</w:t>
      </w:r>
      <w:r w:rsidRPr="00A27F6B">
        <w:rPr>
          <w:rFonts w:asciiTheme="majorBidi" w:hAnsiTheme="majorBidi" w:cstheme="majorBidi"/>
          <w:sz w:val="24"/>
          <w:szCs w:val="24"/>
          <w:vertAlign w:val="superscript"/>
          <w:rtl/>
          <w:lang w:bidi="he-IL"/>
        </w:rPr>
        <w:t>(</w:t>
      </w:r>
      <w:r w:rsidR="00A27F6B" w:rsidRPr="00A27F6B">
        <w:rPr>
          <w:rFonts w:asciiTheme="majorBidi" w:hAnsiTheme="majorBidi" w:cstheme="majorBidi"/>
          <w:sz w:val="24"/>
          <w:szCs w:val="24"/>
          <w:vertAlign w:val="superscript"/>
          <w:lang w:bidi="he-IL"/>
        </w:rPr>
        <w:t>62</w:t>
      </w:r>
      <w:r w:rsidRPr="00A27F6B">
        <w:rPr>
          <w:rFonts w:asciiTheme="majorBidi" w:hAnsiTheme="majorBidi" w:cstheme="majorBidi"/>
          <w:sz w:val="24"/>
          <w:szCs w:val="24"/>
          <w:vertAlign w:val="superscript"/>
          <w:rtl/>
          <w:lang w:bidi="he-IL"/>
        </w:rPr>
        <w:t xml:space="preserve"> )</w:t>
      </w:r>
      <w:r w:rsidRPr="002A0EE0">
        <w:rPr>
          <w:rFonts w:asciiTheme="majorBidi" w:hAnsiTheme="majorBidi" w:cstheme="majorBidi"/>
          <w:sz w:val="24"/>
          <w:szCs w:val="24"/>
          <w:rtl/>
          <w:lang w:bidi="he-IL"/>
        </w:rPr>
        <w:t xml:space="preserve"> שתיקתו של ג’ו מבטאת דואליות זו: הוא חייל, אך אינו יודע כיצד להיות חייל בחברה זו</w:t>
      </w:r>
      <w:r w:rsidRPr="002A0EE0">
        <w:rPr>
          <w:rFonts w:asciiTheme="majorBidi" w:hAnsiTheme="majorBidi" w:cstheme="majorBidi"/>
          <w:sz w:val="24"/>
          <w:szCs w:val="24"/>
          <w:lang w:bidi="ar-IQ"/>
        </w:rPr>
        <w:t>.</w:t>
      </w:r>
    </w:p>
    <w:p w14:paraId="6D405A17"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מזל מוסרי וזהות לא שלמה</w:t>
      </w:r>
      <w:r w:rsidRPr="002A0EE0">
        <w:rPr>
          <w:rFonts w:asciiTheme="majorBidi" w:hAnsiTheme="majorBidi" w:cstheme="majorBidi"/>
          <w:sz w:val="24"/>
          <w:szCs w:val="24"/>
          <w:lang w:bidi="ar-IQ"/>
        </w:rPr>
        <w:t>:</w:t>
      </w:r>
    </w:p>
    <w:p w14:paraId="58CD0323" w14:textId="60660B3C"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מנדלסון-מעוז מיישמת את המושג "מזל מוסרי", שטבע הפילוסוף תומס נגל (1979), על הספרות העברית, ומראה כי חיילים ביצירות ספרותיות רבות מוצאים את עצמם במצב של "מזל רע מוסרי", מצב שבו הסוכן המוסרי מואשם או משבח על פעולות התלויות בחלקן בגורמים שאינם בשליטתו.</w:t>
      </w:r>
      <w:r w:rsidRPr="00A27F6B">
        <w:rPr>
          <w:rFonts w:asciiTheme="majorBidi" w:hAnsiTheme="majorBidi" w:cstheme="majorBidi"/>
          <w:sz w:val="24"/>
          <w:szCs w:val="24"/>
          <w:vertAlign w:val="superscript"/>
          <w:rtl/>
          <w:lang w:bidi="he-IL"/>
        </w:rPr>
        <w:t xml:space="preserve">( </w:t>
      </w:r>
      <w:r w:rsidR="00A27F6B" w:rsidRPr="00A27F6B">
        <w:rPr>
          <w:rFonts w:asciiTheme="majorBidi" w:hAnsiTheme="majorBidi" w:cstheme="majorBidi"/>
          <w:sz w:val="24"/>
          <w:szCs w:val="24"/>
          <w:vertAlign w:val="superscript"/>
          <w:lang w:bidi="he-IL"/>
        </w:rPr>
        <w:t>63</w:t>
      </w:r>
      <w:r w:rsidRPr="00A27F6B">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ג’ו, בשתיקתו ובעמימותו, מגלם מצב זה: הוא חייל משום שהנסיבות הפכו אותו לכזה, אך הוא אינו יכול להיות "חייל המופת" שגבורתו מסופרת. שתיקתו היא ביטוי לחוסר יכולתו למלא את התפקיד הצפוי</w:t>
      </w:r>
      <w:r w:rsidRPr="002A0EE0">
        <w:rPr>
          <w:rFonts w:asciiTheme="majorBidi" w:hAnsiTheme="majorBidi" w:cstheme="majorBidi"/>
          <w:sz w:val="24"/>
          <w:szCs w:val="24"/>
          <w:lang w:bidi="ar-IQ"/>
        </w:rPr>
        <w:t>.</w:t>
      </w:r>
    </w:p>
    <w:p w14:paraId="4BFE4D60"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החייל בין תהילה לטווילימיות יומיומית</w:t>
      </w:r>
      <w:r w:rsidRPr="002A0EE0">
        <w:rPr>
          <w:rFonts w:asciiTheme="majorBidi" w:hAnsiTheme="majorBidi" w:cstheme="majorBidi"/>
          <w:sz w:val="24"/>
          <w:szCs w:val="24"/>
          <w:lang w:bidi="ar-IQ"/>
        </w:rPr>
        <w:t>:</w:t>
      </w:r>
    </w:p>
    <w:p w14:paraId="75EB38C8" w14:textId="45C9DD3B"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כפי שמציינת ברקאי במחקרה "במה לגבריות", הספרות והתיאטרון הישראליים החלו להציג תדמית שונה של החייל, רחוקה מאוד מהאבטיפוס ההרואי הראשוני. תמונה חדשה זו כוללת "שבר, פחד, עובדן, שיתוק, טראומה ודימוי עצמי פגום" (שבור, פחד, אובדן, שיתוק, טראומה ודימוי עצמי מעוות).</w:t>
      </w:r>
      <w:r w:rsidRPr="00A27F6B">
        <w:rPr>
          <w:rFonts w:asciiTheme="majorBidi" w:hAnsiTheme="majorBidi" w:cstheme="majorBidi"/>
          <w:sz w:val="24"/>
          <w:szCs w:val="24"/>
          <w:vertAlign w:val="superscript"/>
          <w:rtl/>
          <w:lang w:bidi="he-IL"/>
        </w:rPr>
        <w:t>(</w:t>
      </w:r>
      <w:r w:rsidR="00A27F6B" w:rsidRPr="00A27F6B">
        <w:rPr>
          <w:rFonts w:asciiTheme="majorBidi" w:hAnsiTheme="majorBidi" w:cstheme="majorBidi"/>
          <w:sz w:val="24"/>
          <w:szCs w:val="24"/>
          <w:vertAlign w:val="superscript"/>
          <w:lang w:bidi="he-IL"/>
        </w:rPr>
        <w:t>64</w:t>
      </w:r>
      <w:r w:rsidRPr="00A27F6B">
        <w:rPr>
          <w:rFonts w:asciiTheme="majorBidi" w:hAnsiTheme="majorBidi" w:cstheme="majorBidi"/>
          <w:sz w:val="24"/>
          <w:szCs w:val="24"/>
          <w:vertAlign w:val="superscript"/>
          <w:rtl/>
          <w:lang w:bidi="he-IL"/>
        </w:rPr>
        <w:t xml:space="preserve"> )</w:t>
      </w:r>
      <w:r w:rsidRPr="002A0EE0">
        <w:rPr>
          <w:rFonts w:asciiTheme="majorBidi" w:hAnsiTheme="majorBidi" w:cstheme="majorBidi"/>
          <w:sz w:val="24"/>
          <w:szCs w:val="24"/>
          <w:rtl/>
          <w:lang w:bidi="he-IL"/>
        </w:rPr>
        <w:t xml:space="preserve"> שתיקתו של ג’ו מגלמת את הדימוי החדש הזה של החייל שלא מדבר, לא מתגאה ונשאר אניגמטי גם במוות</w:t>
      </w:r>
      <w:r w:rsidRPr="002A0EE0">
        <w:rPr>
          <w:rFonts w:asciiTheme="majorBidi" w:hAnsiTheme="majorBidi" w:cstheme="majorBidi"/>
          <w:sz w:val="24"/>
          <w:szCs w:val="24"/>
          <w:lang w:bidi="ar-IQ"/>
        </w:rPr>
        <w:t>.</w:t>
      </w:r>
    </w:p>
    <w:p w14:paraId="5BEE59D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כאבל ושפה חדשה- נוכחות הנעדר בסיפורו של ג’ו</w:t>
      </w:r>
    </w:p>
    <w:p w14:paraId="61F9CA2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דממה בזירת הקבר</w:t>
      </w:r>
    </w:p>
    <w:p w14:paraId="46CCF85C"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בסצנה האחרונה של הסיפור "ג’ו", שבה המספר עומד עם שני נכדיו לפני קברו של ג’ו לאחר חמישים שנה, השתיקה הופכת לפעולה דרמטית</w:t>
      </w:r>
      <w:r w:rsidRPr="002A0EE0">
        <w:rPr>
          <w:rFonts w:asciiTheme="majorBidi" w:hAnsiTheme="majorBidi" w:cstheme="majorBidi"/>
          <w:sz w:val="24"/>
          <w:szCs w:val="24"/>
          <w:lang w:bidi="ar-IQ"/>
        </w:rPr>
        <w:t>:</w:t>
      </w:r>
    </w:p>
    <w:p w14:paraId="4060B21F" w14:textId="798E859E"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הצדעתי לג׳ו. בדומיה. הנכדים עשו כמוני. עיניי נרטבו מדמעות</w:t>
      </w:r>
      <w:r w:rsidRPr="00B82249">
        <w:rPr>
          <w:rFonts w:asciiTheme="majorBidi" w:hAnsiTheme="majorBidi" w:cstheme="majorBidi"/>
          <w:sz w:val="24"/>
          <w:szCs w:val="24"/>
          <w:vertAlign w:val="superscript"/>
          <w:lang w:bidi="ar-IQ"/>
        </w:rPr>
        <w:t>"(</w:t>
      </w:r>
      <w:r w:rsidR="00B82249" w:rsidRPr="00B82249">
        <w:rPr>
          <w:rFonts w:asciiTheme="majorBidi" w:hAnsiTheme="majorBidi" w:cstheme="majorBidi"/>
          <w:sz w:val="24"/>
          <w:szCs w:val="24"/>
          <w:vertAlign w:val="superscript"/>
          <w:lang w:bidi="ar-IQ"/>
        </w:rPr>
        <w:t>65</w:t>
      </w:r>
      <w:r w:rsidRPr="00B82249">
        <w:rPr>
          <w:rFonts w:asciiTheme="majorBidi" w:hAnsiTheme="majorBidi" w:cstheme="majorBidi"/>
          <w:sz w:val="24"/>
          <w:szCs w:val="24"/>
          <w:vertAlign w:val="superscript"/>
          <w:lang w:bidi="ar-IQ"/>
        </w:rPr>
        <w:t xml:space="preserve"> )</w:t>
      </w:r>
    </w:p>
    <w:p w14:paraId="589E1ACA"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לפני זה תיאור של עוד רגע של שקט אקספרסיבי</w:t>
      </w:r>
      <w:r w:rsidRPr="002A0EE0">
        <w:rPr>
          <w:rFonts w:asciiTheme="majorBidi" w:hAnsiTheme="majorBidi" w:cstheme="majorBidi"/>
          <w:sz w:val="24"/>
          <w:szCs w:val="24"/>
          <w:lang w:bidi="ar-IQ"/>
        </w:rPr>
        <w:t>:</w:t>
      </w:r>
    </w:p>
    <w:p w14:paraId="447694D2" w14:textId="6BA9051E"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למתמטי לאות הזעקה וכשהשמיעו אותה נעמדתי דום מתוח כפסל למרגלות הקבר והנכדים התייצבו לידי</w:t>
      </w:r>
      <w:r w:rsidRPr="002A0EE0">
        <w:rPr>
          <w:rFonts w:asciiTheme="majorBidi" w:hAnsiTheme="majorBidi" w:cstheme="majorBidi"/>
          <w:sz w:val="24"/>
          <w:szCs w:val="24"/>
          <w:lang w:bidi="ar-IQ"/>
        </w:rPr>
        <w:t>"</w:t>
      </w:r>
      <w:r w:rsidRPr="00B82249">
        <w:rPr>
          <w:rFonts w:asciiTheme="majorBidi" w:hAnsiTheme="majorBidi" w:cstheme="majorBidi"/>
          <w:sz w:val="24"/>
          <w:szCs w:val="24"/>
          <w:vertAlign w:val="superscript"/>
          <w:lang w:bidi="ar-IQ"/>
        </w:rPr>
        <w:t>(</w:t>
      </w:r>
      <w:r w:rsidR="00B82249" w:rsidRPr="00B82249">
        <w:rPr>
          <w:rFonts w:asciiTheme="majorBidi" w:hAnsiTheme="majorBidi" w:cstheme="majorBidi"/>
          <w:sz w:val="24"/>
          <w:szCs w:val="24"/>
          <w:vertAlign w:val="superscript"/>
          <w:lang w:bidi="ar-IQ"/>
        </w:rPr>
        <w:t>66</w:t>
      </w:r>
      <w:r w:rsidRPr="00B82249">
        <w:rPr>
          <w:rFonts w:asciiTheme="majorBidi" w:hAnsiTheme="majorBidi" w:cstheme="majorBidi"/>
          <w:sz w:val="24"/>
          <w:szCs w:val="24"/>
          <w:vertAlign w:val="superscript"/>
          <w:lang w:bidi="ar-IQ"/>
        </w:rPr>
        <w:t xml:space="preserve"> ) </w:t>
      </w:r>
    </w:p>
    <w:p w14:paraId="1438032D"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כטקס תקשורת עם הנעדרים</w:t>
      </w:r>
      <w:r w:rsidRPr="002A0EE0">
        <w:rPr>
          <w:rFonts w:asciiTheme="majorBidi" w:hAnsiTheme="majorBidi" w:cstheme="majorBidi"/>
          <w:sz w:val="24"/>
          <w:szCs w:val="24"/>
          <w:lang w:bidi="ar-IQ"/>
        </w:rPr>
        <w:t>:</w:t>
      </w:r>
    </w:p>
    <w:p w14:paraId="43DE8261"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הסצנה של עמידה מול הקבר בדממה מוחלטת, עם הצדעה צבאית שקטה, הופכת את השתיקה מהיעדר מילים לשפה חדשה של תקשורת עם המתים. ההצדעה הצבאית כאן אינה רק חובה, אלא מעשה סמלי המנסה לגשר על הפער בין החיים למתים. אך מעשה זה, בשתיקתו, מכיר בחוסר האפשרות של תקשורת אמיתית: שום מילים לא יכולות להגיע לג’ו, ושום שאלות לא יכולות לקבל מענה</w:t>
      </w:r>
      <w:r w:rsidRPr="002A0EE0">
        <w:rPr>
          <w:rFonts w:asciiTheme="majorBidi" w:hAnsiTheme="majorBidi" w:cstheme="majorBidi"/>
          <w:sz w:val="24"/>
          <w:szCs w:val="24"/>
          <w:lang w:bidi="ar-IQ"/>
        </w:rPr>
        <w:t>.</w:t>
      </w:r>
    </w:p>
    <w:p w14:paraId="4A3CA372"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כקשר בין דורות</w:t>
      </w:r>
      <w:r w:rsidRPr="002A0EE0">
        <w:rPr>
          <w:rFonts w:asciiTheme="majorBidi" w:hAnsiTheme="majorBidi" w:cstheme="majorBidi"/>
          <w:sz w:val="24"/>
          <w:szCs w:val="24"/>
          <w:lang w:bidi="ar-IQ"/>
        </w:rPr>
        <w:t>:</w:t>
      </w:r>
    </w:p>
    <w:p w14:paraId="13572EF3"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שני הנכדים העומדים עם המספר בדממה מול הקבר הופכים את השתיקה לאמצעי להעברת זיכרון. הנכדים לא הכירו את ג’ו, אך הם משתתפים בטקס השתיקה. שתיקה משותפת זו הופכת למורשת, דרך להעביר את היעדרותו של החייל לדור חדש. אך מורשת זו אינה מציעה ידע; היא מעלה שאלה: מי היה ג’ו, באמת? ומדוע שתיקתו נותרת חזקה יותר מכל מילים</w:t>
      </w:r>
      <w:r w:rsidRPr="002A0EE0">
        <w:rPr>
          <w:rFonts w:asciiTheme="majorBidi" w:hAnsiTheme="majorBidi" w:cstheme="majorBidi"/>
          <w:sz w:val="24"/>
          <w:szCs w:val="24"/>
          <w:lang w:bidi="ar-IQ"/>
        </w:rPr>
        <w:t>?</w:t>
      </w:r>
    </w:p>
    <w:p w14:paraId="12B0CE4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lastRenderedPageBreak/>
        <w:t>שתיקה כתחליף לדיאלוג אבוד: לאורך כל הסיפור, ג’ו שתק, והמספר כיבד את שתיקתו. כעת, לאחר המוות, השתיקה נמשכת. אין מילים אחרונות, אין וידויים, אין הסברים. השתיקה שאפיינה את ג’ו בחייו הופכת לאופן קיומו לאחר המוות. הוא שותק, והמספר ממשיך לכבד את שתיקתו, גם במוות</w:t>
      </w:r>
      <w:r w:rsidRPr="002A0EE0">
        <w:rPr>
          <w:rFonts w:asciiTheme="majorBidi" w:hAnsiTheme="majorBidi" w:cstheme="majorBidi"/>
          <w:sz w:val="24"/>
          <w:szCs w:val="24"/>
          <w:lang w:bidi="ar-IQ"/>
        </w:rPr>
        <w:t>.</w:t>
      </w:r>
    </w:p>
    <w:p w14:paraId="23E68E3A"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זיכרון והיעדרות בספרות חיילים נעדרים</w:t>
      </w:r>
      <w:r w:rsidRPr="002A0EE0">
        <w:rPr>
          <w:rFonts w:asciiTheme="majorBidi" w:hAnsiTheme="majorBidi" w:cstheme="majorBidi"/>
          <w:sz w:val="24"/>
          <w:szCs w:val="24"/>
          <w:lang w:bidi="ar-IQ"/>
        </w:rPr>
        <w:t>:</w:t>
      </w:r>
    </w:p>
    <w:p w14:paraId="5EEB1A64" w14:textId="4E364084"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 xml:space="preserve">שיט מציין כי סיפורי חיילים נעדרים מסתמכים על מבנה של מסע וחיפוש, כאשר היעדרות החייל מהווה דחף נרטיבי. אך בסיפורו של ג’ו, החיפוש אינו מוביל לידע, אלא לשקט נוסף. </w:t>
      </w:r>
      <w:r w:rsidRPr="00B82249">
        <w:rPr>
          <w:rFonts w:asciiTheme="majorBidi" w:hAnsiTheme="majorBidi" w:cstheme="majorBidi"/>
          <w:sz w:val="24"/>
          <w:szCs w:val="24"/>
          <w:vertAlign w:val="superscript"/>
          <w:rtl/>
          <w:lang w:bidi="he-IL"/>
        </w:rPr>
        <w:t>(</w:t>
      </w:r>
      <w:r w:rsidR="00B82249" w:rsidRPr="00B82249">
        <w:rPr>
          <w:rFonts w:asciiTheme="majorBidi" w:hAnsiTheme="majorBidi" w:cstheme="majorBidi"/>
          <w:sz w:val="24"/>
          <w:szCs w:val="24"/>
          <w:vertAlign w:val="superscript"/>
          <w:lang w:bidi="he-IL"/>
        </w:rPr>
        <w:t>67</w:t>
      </w:r>
      <w:r w:rsidRPr="00B82249">
        <w:rPr>
          <w:rFonts w:asciiTheme="majorBidi" w:hAnsiTheme="majorBidi" w:cstheme="majorBidi"/>
          <w:sz w:val="24"/>
          <w:szCs w:val="24"/>
          <w:vertAlign w:val="superscript"/>
          <w:rtl/>
          <w:lang w:bidi="he-IL"/>
        </w:rPr>
        <w:t xml:space="preserve"> )</w:t>
      </w:r>
      <w:r w:rsidRPr="002A0EE0">
        <w:rPr>
          <w:rFonts w:asciiTheme="majorBidi" w:hAnsiTheme="majorBidi" w:cstheme="majorBidi"/>
          <w:sz w:val="24"/>
          <w:szCs w:val="24"/>
          <w:rtl/>
          <w:lang w:bidi="he-IL"/>
        </w:rPr>
        <w:t xml:space="preserve"> המספר מחפש את ג’ו בזכרונו, אך מוצא רק את החלל שהותירה שתיקת חברו. זה מראה שהיעדרות החייל בספרות העברית לעולם אינה נפתרת; החייל נותר שאלה פתוחה</w:t>
      </w:r>
      <w:r w:rsidRPr="002A0EE0">
        <w:rPr>
          <w:rFonts w:asciiTheme="majorBidi" w:hAnsiTheme="majorBidi" w:cstheme="majorBidi"/>
          <w:sz w:val="24"/>
          <w:szCs w:val="24"/>
          <w:lang w:bidi="ar-IQ"/>
        </w:rPr>
        <w:t>.</w:t>
      </w:r>
    </w:p>
    <w:p w14:paraId="7C604790"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החייל כסמל לניכור אנושי</w:t>
      </w:r>
      <w:r w:rsidRPr="002A0EE0">
        <w:rPr>
          <w:rFonts w:asciiTheme="majorBidi" w:hAnsiTheme="majorBidi" w:cstheme="majorBidi"/>
          <w:sz w:val="24"/>
          <w:szCs w:val="24"/>
          <w:lang w:bidi="ar-IQ"/>
        </w:rPr>
        <w:t>:</w:t>
      </w:r>
    </w:p>
    <w:p w14:paraId="14A66C55"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כפי שניתן לראות ביצירות ספרותיות אחרות כמו הרומן "ימי צל"ג" של ש. יזהר, החייל בספרות העברית מתואר לעיתים כדמות הסובלת ממשבר אידיאולוגי, שבו חיילים מתחילים להטיל ספק במורשת ההומניסטית והסוציאליסטית של אבותיהם. שתיקתו של ג’ו ניתנת לקריאה בהקשר זה: הוא חייל שאינו מאמין ברטוריקה של גבורה, שאינו מוצא מילים לבטא את חוויותיו, ולכן בוחר בשתיקה כחלופה לשקר או להאדרה שקרית</w:t>
      </w:r>
      <w:r w:rsidRPr="002A0EE0">
        <w:rPr>
          <w:rFonts w:asciiTheme="majorBidi" w:hAnsiTheme="majorBidi" w:cstheme="majorBidi"/>
          <w:sz w:val="24"/>
          <w:szCs w:val="24"/>
          <w:lang w:bidi="ar-IQ"/>
        </w:rPr>
        <w:t>.</w:t>
      </w:r>
    </w:p>
    <w:p w14:paraId="4F96A6A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שתיקתו של החייל הנכה- דיבור לסירוגין כחלופה לשקט מוחלט</w:t>
      </w:r>
    </w:p>
    <w:p w14:paraId="61847A8F"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דיבור לסירוגין כדממה כפולה</w:t>
      </w:r>
    </w:p>
    <w:p w14:paraId="325E9FA2"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בסיפור "פגישה עם נכה" שתיקתו של החייל מופיעה בצורה שונה: לא דממה מוחלטת, אלא דיאלוג לסירוגין, עם הפסקות ואנחות רבות. המספר מתאר את פגישתו עם עמינדב</w:t>
      </w:r>
      <w:r w:rsidRPr="002A0EE0">
        <w:rPr>
          <w:rFonts w:asciiTheme="majorBidi" w:hAnsiTheme="majorBidi" w:cstheme="majorBidi"/>
          <w:sz w:val="24"/>
          <w:szCs w:val="24"/>
          <w:lang w:bidi="ar-IQ"/>
        </w:rPr>
        <w:t>:</w:t>
      </w:r>
    </w:p>
    <w:p w14:paraId="731EE1F7" w14:textId="1255E218"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האיש בכיסא גלגלים ישב בשקט, בלי להגיד מילה, אבל כשסיימתי לקרוא וקיפלתי את העיתון, הוא ביקש להציץ בו</w:t>
      </w:r>
      <w:r w:rsidRPr="00B82249">
        <w:rPr>
          <w:rFonts w:asciiTheme="majorBidi" w:hAnsiTheme="majorBidi" w:cstheme="majorBidi"/>
          <w:sz w:val="24"/>
          <w:szCs w:val="24"/>
          <w:vertAlign w:val="superscript"/>
          <w:lang w:bidi="ar-IQ"/>
        </w:rPr>
        <w:t>"(</w:t>
      </w:r>
      <w:r w:rsidR="00B82249" w:rsidRPr="00B82249">
        <w:rPr>
          <w:rFonts w:asciiTheme="majorBidi" w:hAnsiTheme="majorBidi" w:cstheme="majorBidi"/>
          <w:sz w:val="24"/>
          <w:szCs w:val="24"/>
          <w:vertAlign w:val="superscript"/>
          <w:lang w:bidi="ar-IQ"/>
        </w:rPr>
        <w:t>68</w:t>
      </w:r>
      <w:r w:rsidRPr="00B82249">
        <w:rPr>
          <w:rFonts w:asciiTheme="majorBidi" w:hAnsiTheme="majorBidi" w:cstheme="majorBidi"/>
          <w:sz w:val="24"/>
          <w:szCs w:val="24"/>
          <w:vertAlign w:val="superscript"/>
          <w:lang w:bidi="ar-IQ"/>
        </w:rPr>
        <w:t xml:space="preserve"> )</w:t>
      </w:r>
    </w:p>
    <w:p w14:paraId="02CFB1F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עמינדב מתאר את חייו בקול עייף</w:t>
      </w:r>
      <w:r w:rsidRPr="002A0EE0">
        <w:rPr>
          <w:rFonts w:asciiTheme="majorBidi" w:hAnsiTheme="majorBidi" w:cstheme="majorBidi"/>
          <w:sz w:val="24"/>
          <w:szCs w:val="24"/>
          <w:lang w:bidi="ar-IQ"/>
        </w:rPr>
        <w:t>:</w:t>
      </w:r>
    </w:p>
    <w:p w14:paraId="74EA7C6F" w14:textId="03CF79E8"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לשבת כל היום בכיסא גלגלים ולהסתכל על כלום... חיים... איזה מן חיים אלה</w:t>
      </w:r>
      <w:r w:rsidRPr="00B82249">
        <w:rPr>
          <w:rFonts w:asciiTheme="majorBidi" w:hAnsiTheme="majorBidi" w:cstheme="majorBidi"/>
          <w:sz w:val="24"/>
          <w:szCs w:val="24"/>
          <w:vertAlign w:val="superscript"/>
          <w:lang w:bidi="ar-IQ"/>
        </w:rPr>
        <w:t>?" (</w:t>
      </w:r>
      <w:r w:rsidR="00B82249" w:rsidRPr="00B82249">
        <w:rPr>
          <w:rFonts w:asciiTheme="majorBidi" w:hAnsiTheme="majorBidi" w:cstheme="majorBidi"/>
          <w:sz w:val="24"/>
          <w:szCs w:val="24"/>
          <w:vertAlign w:val="superscript"/>
          <w:lang w:bidi="ar-IQ"/>
        </w:rPr>
        <w:t>69</w:t>
      </w:r>
      <w:r w:rsidRPr="00B82249">
        <w:rPr>
          <w:rFonts w:asciiTheme="majorBidi" w:hAnsiTheme="majorBidi" w:cstheme="majorBidi"/>
          <w:sz w:val="24"/>
          <w:szCs w:val="24"/>
          <w:vertAlign w:val="superscript"/>
          <w:lang w:bidi="ar-IQ"/>
        </w:rPr>
        <w:t xml:space="preserve"> )</w:t>
      </w:r>
    </w:p>
    <w:p w14:paraId="62B4A14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כשלב הראשון של התקשורת</w:t>
      </w:r>
      <w:r w:rsidRPr="002A0EE0">
        <w:rPr>
          <w:rFonts w:asciiTheme="majorBidi" w:hAnsiTheme="majorBidi" w:cstheme="majorBidi"/>
          <w:sz w:val="24"/>
          <w:szCs w:val="24"/>
          <w:lang w:bidi="ar-IQ"/>
        </w:rPr>
        <w:t>:</w:t>
      </w:r>
    </w:p>
    <w:p w14:paraId="469B90AF"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עמינדב אינו יוזם את הדיאלוג; הוא ממתין עד שהמספר יסיים לקרוא את העיתון. שתיקה ראשונית זו אינה היעדר דיבור, אלא הקדמה לדיבור, רגע של ציפייה שבו הוא מחליט אם לדבר. שתיקה כאן היא בחירה, לא חוסר יכולת</w:t>
      </w:r>
      <w:r w:rsidRPr="002A0EE0">
        <w:rPr>
          <w:rFonts w:asciiTheme="majorBidi" w:hAnsiTheme="majorBidi" w:cstheme="majorBidi"/>
          <w:sz w:val="24"/>
          <w:szCs w:val="24"/>
          <w:lang w:bidi="ar-IQ"/>
        </w:rPr>
        <w:t>.</w:t>
      </w:r>
    </w:p>
    <w:p w14:paraId="590A616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דיבור לסירוגין כשקט נשמע</w:t>
      </w:r>
      <w:r w:rsidRPr="002A0EE0">
        <w:rPr>
          <w:rFonts w:asciiTheme="majorBidi" w:hAnsiTheme="majorBidi" w:cstheme="majorBidi"/>
          <w:sz w:val="24"/>
          <w:szCs w:val="24"/>
          <w:lang w:bidi="ar-IQ"/>
        </w:rPr>
        <w:t>:</w:t>
      </w:r>
    </w:p>
    <w:p w14:paraId="7E470EAB"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משפטיו של עמינדב קצרים, מקוטעים ומושהים לעתים קרובות: "לשבת... ולהסתכל... חיים... איזה מן חיים אלה</w:t>
      </w:r>
      <w:r w:rsidRPr="002A0EE0">
        <w:rPr>
          <w:rFonts w:asciiTheme="majorBidi" w:hAnsiTheme="majorBidi" w:cstheme="majorBidi"/>
          <w:sz w:val="24"/>
          <w:szCs w:val="24"/>
          <w:rtl/>
          <w:lang w:bidi="ar-IQ"/>
        </w:rPr>
        <w:t xml:space="preserve">؟" </w:t>
      </w:r>
      <w:r w:rsidRPr="002A0EE0">
        <w:rPr>
          <w:rFonts w:asciiTheme="majorBidi" w:hAnsiTheme="majorBidi" w:cstheme="majorBidi"/>
          <w:sz w:val="24"/>
          <w:szCs w:val="24"/>
          <w:rtl/>
          <w:lang w:bidi="he-IL"/>
        </w:rPr>
        <w:t>הפסקות אלה אינן היסוסים בלבד, אלא שתיקות בתוך הדיבור, רגעים שבהם החייל מפסיק לדבר משום שאינו יכול למצוא מילים לבטא את כאבו. שתיקה כאן אינה היעדר, אלא נוכחות של כאב בלתי ניתן לביטוי</w:t>
      </w:r>
      <w:r w:rsidRPr="002A0EE0">
        <w:rPr>
          <w:rFonts w:asciiTheme="majorBidi" w:hAnsiTheme="majorBidi" w:cstheme="majorBidi"/>
          <w:sz w:val="24"/>
          <w:szCs w:val="24"/>
          <w:lang w:bidi="ar-IQ"/>
        </w:rPr>
        <w:t>.</w:t>
      </w:r>
    </w:p>
    <w:p w14:paraId="070AB20E"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כמרחק בין החייל לבין עולם</w:t>
      </w:r>
      <w:r w:rsidRPr="002A0EE0">
        <w:rPr>
          <w:rFonts w:asciiTheme="majorBidi" w:hAnsiTheme="majorBidi" w:cstheme="majorBidi"/>
          <w:sz w:val="24"/>
          <w:szCs w:val="24"/>
          <w:lang w:bidi="ar-IQ"/>
        </w:rPr>
        <w:t>:</w:t>
      </w:r>
    </w:p>
    <w:p w14:paraId="405D8759" w14:textId="49845BD3"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עמינדב אומר: "אתה יכול להישאר איתו, כבר קראתי אותו לגמרי"</w:t>
      </w:r>
      <w:r w:rsidRPr="00B82249">
        <w:rPr>
          <w:rFonts w:asciiTheme="majorBidi" w:hAnsiTheme="majorBidi" w:cstheme="majorBidi"/>
          <w:sz w:val="24"/>
          <w:szCs w:val="24"/>
          <w:vertAlign w:val="superscript"/>
          <w:rtl/>
          <w:lang w:bidi="he-IL"/>
        </w:rPr>
        <w:t xml:space="preserve">( </w:t>
      </w:r>
      <w:r w:rsidR="00B82249" w:rsidRPr="00B82249">
        <w:rPr>
          <w:rFonts w:asciiTheme="majorBidi" w:hAnsiTheme="majorBidi" w:cstheme="majorBidi"/>
          <w:sz w:val="24"/>
          <w:szCs w:val="24"/>
          <w:vertAlign w:val="superscript"/>
          <w:lang w:bidi="he-IL"/>
        </w:rPr>
        <w:t>70</w:t>
      </w:r>
      <w:r w:rsidRPr="00B82249">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סירוב עדין זה לשמור את העיתון מראה שעמינדב לא רוצה הרבה מהעולם החיצון. העיתון, שמפרסם חדשות על מלחמה ואלימות, לא מעניין אותו. שתיקתו כלפי העולם היא סירוב להשתתף בשיח שלו</w:t>
      </w:r>
      <w:r w:rsidRPr="002A0EE0">
        <w:rPr>
          <w:rFonts w:asciiTheme="majorBidi" w:hAnsiTheme="majorBidi" w:cstheme="majorBidi"/>
          <w:sz w:val="24"/>
          <w:szCs w:val="24"/>
          <w:lang w:bidi="ar-IQ"/>
        </w:rPr>
        <w:t>.</w:t>
      </w:r>
    </w:p>
    <w:p w14:paraId="5F1E270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זיכרון כואב ושתיקה טיפולית</w:t>
      </w:r>
      <w:r w:rsidRPr="002A0EE0">
        <w:rPr>
          <w:rFonts w:asciiTheme="majorBidi" w:hAnsiTheme="majorBidi" w:cstheme="majorBidi"/>
          <w:sz w:val="24"/>
          <w:szCs w:val="24"/>
          <w:lang w:bidi="ar-IQ"/>
        </w:rPr>
        <w:t>:</w:t>
      </w:r>
    </w:p>
    <w:p w14:paraId="22CB9B72" w14:textId="75C37D60"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ברומנו של יונתן הרבלין "גם אני הייתי שם", מתואר חייל טראומטי שעובר טיפול פסיכולוגי חובה על ידי הצבא. החייל חווה מחדש רגעים מחרידים מהקרב בעזה ומגלה שהתמודדות עם הטראומה יכולה להיות בעלת השפעה משקמת ומיטיבה באופן מפתיע.</w:t>
      </w:r>
      <w:r w:rsidRPr="00B82249">
        <w:rPr>
          <w:rFonts w:asciiTheme="majorBidi" w:hAnsiTheme="majorBidi" w:cstheme="majorBidi"/>
          <w:sz w:val="24"/>
          <w:szCs w:val="24"/>
          <w:vertAlign w:val="superscript"/>
          <w:rtl/>
          <w:lang w:bidi="he-IL"/>
        </w:rPr>
        <w:t xml:space="preserve">( </w:t>
      </w:r>
      <w:r w:rsidR="00B82249" w:rsidRPr="00B82249">
        <w:rPr>
          <w:rFonts w:asciiTheme="majorBidi" w:hAnsiTheme="majorBidi" w:cstheme="majorBidi"/>
          <w:sz w:val="24"/>
          <w:szCs w:val="24"/>
          <w:vertAlign w:val="superscript"/>
          <w:lang w:bidi="he-IL"/>
        </w:rPr>
        <w:t>71</w:t>
      </w:r>
      <w:r w:rsidRPr="00B82249">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עמינדב, בספרו סיפור, עובר תהליך דומה: שתיקתו הראשונית הופכת לדיבור מקוטע, ואז לנרטיב של חייו. עם זאת, בניגוד לגיבורו של הרבלין, עמינדב אינו מוצא נחמה בדיבור; במקום זאת, הוא נשאר במצב של דממה פנימית</w:t>
      </w:r>
      <w:r w:rsidRPr="002A0EE0">
        <w:rPr>
          <w:rFonts w:asciiTheme="majorBidi" w:hAnsiTheme="majorBidi" w:cstheme="majorBidi"/>
          <w:sz w:val="24"/>
          <w:szCs w:val="24"/>
          <w:lang w:bidi="ar-IQ"/>
        </w:rPr>
        <w:t>.</w:t>
      </w:r>
    </w:p>
    <w:p w14:paraId="781739D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החייל כקורבן של המערכת הצבאית</w:t>
      </w:r>
      <w:r w:rsidRPr="002A0EE0">
        <w:rPr>
          <w:rFonts w:asciiTheme="majorBidi" w:hAnsiTheme="majorBidi" w:cstheme="majorBidi"/>
          <w:sz w:val="24"/>
          <w:szCs w:val="24"/>
          <w:lang w:bidi="ar-IQ"/>
        </w:rPr>
        <w:t>:</w:t>
      </w:r>
    </w:p>
    <w:p w14:paraId="2E127CEB" w14:textId="67ADAFE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מנדלסון-מעוז מראה כי החייל בספרות העברית מתואר לעיתים בעמדה של פגיעות מוחלטת, שבה מוגבלות או טראומה מורדות ממנו כל דימוי הרואי וחושפות אותו כבן אדם רגיל שנפל קורבן לנסיבות שאינן בשליטתו.</w:t>
      </w:r>
      <w:r w:rsidRPr="00B82249">
        <w:rPr>
          <w:rFonts w:asciiTheme="majorBidi" w:hAnsiTheme="majorBidi" w:cstheme="majorBidi"/>
          <w:sz w:val="24"/>
          <w:szCs w:val="24"/>
          <w:vertAlign w:val="superscript"/>
          <w:rtl/>
          <w:lang w:bidi="he-IL"/>
        </w:rPr>
        <w:t xml:space="preserve">( </w:t>
      </w:r>
      <w:r w:rsidR="00B82249" w:rsidRPr="00B82249">
        <w:rPr>
          <w:rFonts w:asciiTheme="majorBidi" w:hAnsiTheme="majorBidi" w:cstheme="majorBidi"/>
          <w:sz w:val="24"/>
          <w:szCs w:val="24"/>
          <w:vertAlign w:val="superscript"/>
          <w:lang w:bidi="he-IL"/>
        </w:rPr>
        <w:t>72</w:t>
      </w:r>
      <w:r w:rsidRPr="00B82249">
        <w:rPr>
          <w:rFonts w:asciiTheme="majorBidi" w:hAnsiTheme="majorBidi" w:cstheme="majorBidi"/>
          <w:sz w:val="24"/>
          <w:szCs w:val="24"/>
          <w:vertAlign w:val="superscript"/>
          <w:rtl/>
          <w:lang w:bidi="he-IL"/>
        </w:rPr>
        <w:t xml:space="preserve">) </w:t>
      </w:r>
      <w:r w:rsidRPr="002A0EE0">
        <w:rPr>
          <w:rFonts w:asciiTheme="majorBidi" w:hAnsiTheme="majorBidi" w:cstheme="majorBidi"/>
          <w:sz w:val="24"/>
          <w:szCs w:val="24"/>
          <w:rtl/>
          <w:lang w:bidi="he-IL"/>
        </w:rPr>
        <w:t>שתיקתו הסירוגין, הלא שלמה וחסרת המשמעות של עמינדב משקפת פגיעות זו. הוא אינו יכול לספר את סיפורו המלא משום שאינו מבין אותו בעצמו</w:t>
      </w:r>
      <w:r w:rsidRPr="002A0EE0">
        <w:rPr>
          <w:rFonts w:asciiTheme="majorBidi" w:hAnsiTheme="majorBidi" w:cstheme="majorBidi"/>
          <w:sz w:val="24"/>
          <w:szCs w:val="24"/>
          <w:lang w:bidi="ar-IQ"/>
        </w:rPr>
        <w:t>.</w:t>
      </w:r>
    </w:p>
    <w:p w14:paraId="164F0370"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כהיעדר החייל בסיפורים אחרים- היעדרות האויב כשתיקה כפולה</w:t>
      </w:r>
    </w:p>
    <w:p w14:paraId="70439EC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lastRenderedPageBreak/>
        <w:t>בסיפורים כמו "אודי בארץ הפלאות" ו"השועל והענבים שלי", גם החייל וגם האויב נעדרים. הסכסוך הערבי-ישראלי, שאמור להיות מוקד חייו של החייל, נעדר לחלוטין מהטקסט, ומוחלף על ידי עולם הילדות והדמיון</w:t>
      </w:r>
      <w:r w:rsidRPr="002A0EE0">
        <w:rPr>
          <w:rFonts w:asciiTheme="majorBidi" w:hAnsiTheme="majorBidi" w:cstheme="majorBidi"/>
          <w:sz w:val="24"/>
          <w:szCs w:val="24"/>
          <w:lang w:bidi="ar-IQ"/>
        </w:rPr>
        <w:t>.</w:t>
      </w:r>
    </w:p>
    <w:p w14:paraId="6D2F0FE2" w14:textId="0D421DA4"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השמטה זו אינה פיקוח, אלא בחירה ספרותית המעבירה את המוקד מקונפליקט "אנחנו נגדם" למאבקו של החייל/ילד עם עצמו, גופו וזכרונו. שתיקה על האויב היא שתיקה על פוליטיקה, על אלימות, על כל מה שמהווה זהות חייל מסורתית. בעולמם של אודי ואליס, אין אויב, רק חידות ושאלות על זהות. חיזוק תיאורטי: כפי שמתעדת מנדלסון-מעוז, הספרות העברית בתקופת האינתיפאדה מעלה שאלות אתיות בנוגע לדואליות של אזרחים שהם גם חיילים, ולאופי גידול הדורות הבאים.</w:t>
      </w:r>
      <w:r w:rsidRPr="00B82249">
        <w:rPr>
          <w:rFonts w:asciiTheme="majorBidi" w:hAnsiTheme="majorBidi" w:cstheme="majorBidi"/>
          <w:sz w:val="24"/>
          <w:szCs w:val="24"/>
          <w:vertAlign w:val="superscript"/>
          <w:rtl/>
          <w:lang w:bidi="he-IL"/>
        </w:rPr>
        <w:t xml:space="preserve">( </w:t>
      </w:r>
      <w:r w:rsidR="00B82249" w:rsidRPr="00B82249">
        <w:rPr>
          <w:rFonts w:asciiTheme="majorBidi" w:hAnsiTheme="majorBidi" w:cstheme="majorBidi"/>
          <w:sz w:val="24"/>
          <w:szCs w:val="24"/>
          <w:vertAlign w:val="superscript"/>
          <w:lang w:bidi="he-IL"/>
        </w:rPr>
        <w:t>73</w:t>
      </w:r>
      <w:r w:rsidRPr="00B82249">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בסיפוריו של מנדל, שבהם החייל והאויב נעדרים, עולה שאלה נוספת: כיצד ניתן לגדל דור חדש כאשר החייל עצמו נעדר מהנרטיב? וכיצד ניתן להעביר זיכרון כאשר הנעדר הוא הדמות המרכזית? ה. הפואטיקה של הסוף הפתוח- שתיקה כשאלה ללא מענה</w:t>
      </w:r>
    </w:p>
    <w:p w14:paraId="418137FA"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הסוף הפתוח כשתיקה נרטיבית</w:t>
      </w:r>
    </w:p>
    <w:p w14:paraId="154D5ACC"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הסיפור "ג’ו" מסתיים בשאלה ללא מענה, ובסיפור "אליהו הנביא בסדר פסח" הטקסט מסתיים בשאלה קיומית דומה</w:t>
      </w:r>
      <w:r w:rsidRPr="002A0EE0">
        <w:rPr>
          <w:rFonts w:asciiTheme="majorBidi" w:hAnsiTheme="majorBidi" w:cstheme="majorBidi"/>
          <w:sz w:val="24"/>
          <w:szCs w:val="24"/>
          <w:lang w:bidi="ar-IQ"/>
        </w:rPr>
        <w:t>:</w:t>
      </w:r>
    </w:p>
    <w:p w14:paraId="53A109F1" w14:textId="3C77E58F"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Pr="002A0EE0">
        <w:rPr>
          <w:rFonts w:asciiTheme="majorBidi" w:hAnsiTheme="majorBidi" w:cstheme="majorBidi"/>
          <w:sz w:val="24"/>
          <w:szCs w:val="24"/>
          <w:rtl/>
          <w:lang w:bidi="he-IL"/>
        </w:rPr>
        <w:t>כמעט שמונים שנה חלפו מהסדר ההוא ואני טרם יודע אם אליהו באמת היה או לא</w:t>
      </w:r>
      <w:r w:rsidRPr="00B82249">
        <w:rPr>
          <w:rFonts w:asciiTheme="majorBidi" w:hAnsiTheme="majorBidi" w:cstheme="majorBidi"/>
          <w:sz w:val="24"/>
          <w:szCs w:val="24"/>
          <w:vertAlign w:val="superscript"/>
          <w:lang w:bidi="ar-IQ"/>
        </w:rPr>
        <w:t>"(</w:t>
      </w:r>
      <w:r w:rsidR="00B82249" w:rsidRPr="00B82249">
        <w:rPr>
          <w:rFonts w:asciiTheme="majorBidi" w:hAnsiTheme="majorBidi" w:cstheme="majorBidi"/>
          <w:sz w:val="24"/>
          <w:szCs w:val="24"/>
          <w:vertAlign w:val="superscript"/>
          <w:lang w:bidi="ar-IQ"/>
        </w:rPr>
        <w:t>74</w:t>
      </w:r>
      <w:r w:rsidRPr="00B82249">
        <w:rPr>
          <w:rFonts w:asciiTheme="majorBidi" w:hAnsiTheme="majorBidi" w:cstheme="majorBidi"/>
          <w:sz w:val="24"/>
          <w:szCs w:val="24"/>
          <w:vertAlign w:val="superscript"/>
          <w:lang w:bidi="ar-IQ"/>
        </w:rPr>
        <w:t xml:space="preserve"> )</w:t>
      </w:r>
    </w:p>
    <w:p w14:paraId="6407477A"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ובסיפור "פגישה עם נכה", הסיפור מסתיים במשפט: בקצרה</w:t>
      </w:r>
      <w:r w:rsidRPr="002A0EE0">
        <w:rPr>
          <w:rFonts w:asciiTheme="majorBidi" w:hAnsiTheme="majorBidi" w:cstheme="majorBidi"/>
          <w:sz w:val="24"/>
          <w:szCs w:val="24"/>
          <w:lang w:bidi="ar-IQ"/>
        </w:rPr>
        <w:t>:</w:t>
      </w:r>
    </w:p>
    <w:p w14:paraId="064E06DD" w14:textId="5EAE75A4"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לא התראינו יותר</w:t>
      </w:r>
      <w:r w:rsidRPr="00B82249">
        <w:rPr>
          <w:rFonts w:asciiTheme="majorBidi" w:hAnsiTheme="majorBidi" w:cstheme="majorBidi"/>
          <w:sz w:val="24"/>
          <w:szCs w:val="24"/>
          <w:vertAlign w:val="superscript"/>
          <w:lang w:bidi="ar-IQ"/>
        </w:rPr>
        <w:t>" (</w:t>
      </w:r>
      <w:r w:rsidR="00B82249" w:rsidRPr="00B82249">
        <w:rPr>
          <w:rFonts w:asciiTheme="majorBidi" w:hAnsiTheme="majorBidi" w:cstheme="majorBidi"/>
          <w:sz w:val="24"/>
          <w:szCs w:val="24"/>
          <w:vertAlign w:val="superscript"/>
          <w:lang w:bidi="ar-IQ"/>
        </w:rPr>
        <w:t>75</w:t>
      </w:r>
      <w:r w:rsidRPr="00B82249">
        <w:rPr>
          <w:rFonts w:asciiTheme="majorBidi" w:hAnsiTheme="majorBidi" w:cstheme="majorBidi"/>
          <w:sz w:val="24"/>
          <w:szCs w:val="24"/>
          <w:vertAlign w:val="superscript"/>
          <w:lang w:bidi="ar-IQ"/>
        </w:rPr>
        <w:t xml:space="preserve"> )</w:t>
      </w:r>
      <w:r w:rsidRPr="002A0EE0">
        <w:rPr>
          <w:rFonts w:asciiTheme="majorBidi" w:hAnsiTheme="majorBidi" w:cstheme="majorBidi"/>
          <w:sz w:val="24"/>
          <w:szCs w:val="24"/>
          <w:lang w:bidi="ar-IQ"/>
        </w:rPr>
        <w:t xml:space="preserve"> </w:t>
      </w:r>
    </w:p>
    <w:p w14:paraId="7A6A033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הסוף הפתוח כהמשך של שתיקה</w:t>
      </w:r>
      <w:r w:rsidRPr="002A0EE0">
        <w:rPr>
          <w:rFonts w:asciiTheme="majorBidi" w:hAnsiTheme="majorBidi" w:cstheme="majorBidi"/>
          <w:sz w:val="24"/>
          <w:szCs w:val="24"/>
          <w:lang w:bidi="ar-IQ"/>
        </w:rPr>
        <w:t>:</w:t>
      </w:r>
    </w:p>
    <w:p w14:paraId="5009E790"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הסופים הפתוחים בסיפוריו של מנדל הם הרחבה של השתיקה שאפיינה את הדמויות. ג’ו נותר אניגמטי גם לאחר המוות; עמינדב עוזב ללא גורל ידוע; אליהו הנביא נותר שאלה פתוחה. סיומים אלה אינם מציעים תשובות, אלא מחזקים את הריק הסמנטי שהיה קיים לאורך כל הטקסט. השתיקה אינה נגמרת, אלא נמשכת בסופו</w:t>
      </w:r>
      <w:r w:rsidRPr="002A0EE0">
        <w:rPr>
          <w:rFonts w:asciiTheme="majorBidi" w:hAnsiTheme="majorBidi" w:cstheme="majorBidi"/>
          <w:sz w:val="24"/>
          <w:szCs w:val="24"/>
          <w:lang w:bidi="ar-IQ"/>
        </w:rPr>
        <w:t>.</w:t>
      </w:r>
    </w:p>
    <w:p w14:paraId="27055AF4"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כשאלה קיומית</w:t>
      </w:r>
      <w:r w:rsidRPr="002A0EE0">
        <w:rPr>
          <w:rFonts w:asciiTheme="majorBidi" w:hAnsiTheme="majorBidi" w:cstheme="majorBidi"/>
          <w:sz w:val="24"/>
          <w:szCs w:val="24"/>
          <w:lang w:bidi="ar-IQ"/>
        </w:rPr>
        <w:t>:</w:t>
      </w:r>
    </w:p>
    <w:p w14:paraId="137EFBBD"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הסוף הפתוח הופך את החייל מדמות לשאלה: מי היה ג’ו באמת? האם אליהו באמת ביקר אותנו? האם עמינדב מצא שלווה? לשאלות אלה אין תשובות, וזוהי מהות השתיקה הנרטיבית. החייל אינו מצטמצם לסיפור שמסופר, אלא נותר תעלומה המוצגת</w:t>
      </w:r>
      <w:r w:rsidRPr="002A0EE0">
        <w:rPr>
          <w:rFonts w:asciiTheme="majorBidi" w:hAnsiTheme="majorBidi" w:cstheme="majorBidi"/>
          <w:sz w:val="24"/>
          <w:szCs w:val="24"/>
          <w:lang w:bidi="ar-IQ"/>
        </w:rPr>
        <w:t>.</w:t>
      </w:r>
    </w:p>
    <w:p w14:paraId="098C44E0"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הפואטיקה של סופים פתוחים בספרות מלחמה</w:t>
      </w:r>
      <w:r w:rsidRPr="002A0EE0">
        <w:rPr>
          <w:rFonts w:asciiTheme="majorBidi" w:hAnsiTheme="majorBidi" w:cstheme="majorBidi"/>
          <w:sz w:val="24"/>
          <w:szCs w:val="24"/>
          <w:lang w:bidi="ar-IQ"/>
        </w:rPr>
        <w:t>:</w:t>
      </w:r>
    </w:p>
    <w:p w14:paraId="653AF63A" w14:textId="65E3F47C"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כפי שמציין שיט</w:t>
      </w:r>
      <w:r w:rsidRPr="00B82249">
        <w:rPr>
          <w:rFonts w:asciiTheme="majorBidi" w:hAnsiTheme="majorBidi" w:cstheme="majorBidi"/>
          <w:sz w:val="24"/>
          <w:szCs w:val="24"/>
          <w:vertAlign w:val="superscript"/>
          <w:rtl/>
          <w:lang w:bidi="he-IL"/>
        </w:rPr>
        <w:t>,(</w:t>
      </w:r>
      <w:r w:rsidR="00B82249" w:rsidRPr="00B82249">
        <w:rPr>
          <w:rFonts w:asciiTheme="majorBidi" w:hAnsiTheme="majorBidi" w:cstheme="majorBidi"/>
          <w:sz w:val="24"/>
          <w:szCs w:val="24"/>
          <w:vertAlign w:val="superscript"/>
          <w:lang w:bidi="he-IL"/>
        </w:rPr>
        <w:t>76</w:t>
      </w:r>
      <w:r w:rsidRPr="00B82249">
        <w:rPr>
          <w:rFonts w:asciiTheme="majorBidi" w:hAnsiTheme="majorBidi" w:cstheme="majorBidi"/>
          <w:sz w:val="24"/>
          <w:szCs w:val="24"/>
          <w:vertAlign w:val="superscript"/>
          <w:rtl/>
          <w:lang w:bidi="he-IL"/>
        </w:rPr>
        <w:t xml:space="preserve"> )</w:t>
      </w:r>
      <w:r w:rsidRPr="002A0EE0">
        <w:rPr>
          <w:rFonts w:asciiTheme="majorBidi" w:hAnsiTheme="majorBidi" w:cstheme="majorBidi"/>
          <w:sz w:val="24"/>
          <w:szCs w:val="24"/>
          <w:rtl/>
          <w:lang w:bidi="he-IL"/>
        </w:rPr>
        <w:t xml:space="preserve"> בסיפורים על חיילים נעדרים, מוות או היעדרות הופכים לתמריץ נרטיבי לחיפוש, ולא לסוף הסיפור. הסוף הפתוח משקף את חוסר האפשרות לסגור את תיק החייל, את חוסר האפשרות לענות על שאלות זהות ושייכות. סופים אלה הופכים את הקורא לשותף בחיפוש, חולק את שתיקתו של המספר ואת שאלותיו</w:t>
      </w:r>
      <w:r w:rsidRPr="002A0EE0">
        <w:rPr>
          <w:rFonts w:asciiTheme="majorBidi" w:hAnsiTheme="majorBidi" w:cstheme="majorBidi"/>
          <w:sz w:val="24"/>
          <w:szCs w:val="24"/>
          <w:lang w:bidi="ar-IQ"/>
        </w:rPr>
        <w:t>.</w:t>
      </w:r>
    </w:p>
    <w:p w14:paraId="2204F965"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החייל כסמל בספרות העברית</w:t>
      </w:r>
      <w:r w:rsidRPr="002A0EE0">
        <w:rPr>
          <w:rFonts w:asciiTheme="majorBidi" w:hAnsiTheme="majorBidi" w:cstheme="majorBidi"/>
          <w:sz w:val="24"/>
          <w:szCs w:val="24"/>
          <w:lang w:bidi="ar-IQ"/>
        </w:rPr>
        <w:t>:</w:t>
      </w:r>
    </w:p>
    <w:p w14:paraId="33E067DE" w14:textId="75272611"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כפי שניתן לראות באנתולוגיה "גוילי אש", שאספה את כתביהם ואמנותם של חיילים שנפלו במלחמת העצמאות,</w:t>
      </w:r>
      <w:r w:rsidRPr="00B82249">
        <w:rPr>
          <w:rFonts w:asciiTheme="majorBidi" w:hAnsiTheme="majorBidi" w:cstheme="majorBidi"/>
          <w:sz w:val="24"/>
          <w:szCs w:val="24"/>
          <w:vertAlign w:val="superscript"/>
          <w:rtl/>
          <w:lang w:bidi="he-IL"/>
        </w:rPr>
        <w:t xml:space="preserve">( </w:t>
      </w:r>
      <w:r w:rsidR="00B82249" w:rsidRPr="00B82249">
        <w:rPr>
          <w:rFonts w:asciiTheme="majorBidi" w:hAnsiTheme="majorBidi" w:cstheme="majorBidi"/>
          <w:sz w:val="24"/>
          <w:szCs w:val="24"/>
          <w:vertAlign w:val="superscript"/>
          <w:lang w:bidi="he-IL"/>
        </w:rPr>
        <w:t>77</w:t>
      </w:r>
      <w:r w:rsidRPr="00B82249">
        <w:rPr>
          <w:rFonts w:asciiTheme="majorBidi" w:hAnsiTheme="majorBidi" w:cstheme="majorBidi"/>
          <w:sz w:val="24"/>
          <w:szCs w:val="24"/>
          <w:vertAlign w:val="superscript"/>
          <w:rtl/>
          <w:lang w:bidi="he-IL"/>
        </w:rPr>
        <w:t>)</w:t>
      </w:r>
      <w:r w:rsidRPr="002A0EE0">
        <w:rPr>
          <w:rFonts w:asciiTheme="majorBidi" w:hAnsiTheme="majorBidi" w:cstheme="majorBidi"/>
          <w:sz w:val="24"/>
          <w:szCs w:val="24"/>
          <w:rtl/>
          <w:lang w:bidi="he-IL"/>
        </w:rPr>
        <w:t xml:space="preserve"> החייל בספרות העברית מתואר לעתים קרובות כסמל המתעלה על הפרט. אך בסיפוריו של מנדל, סמל זה נותר דו משמעי, לא שלם ושתוק. החייל כאן אינו סמל לגבורה, אלא סמל לאובדן, עמימות וחוסר אפשרות להבנה</w:t>
      </w:r>
      <w:r w:rsidRPr="002A0EE0">
        <w:rPr>
          <w:rFonts w:asciiTheme="majorBidi" w:hAnsiTheme="majorBidi" w:cstheme="majorBidi"/>
          <w:sz w:val="24"/>
          <w:szCs w:val="24"/>
          <w:lang w:bidi="ar-IQ"/>
        </w:rPr>
        <w:t>.</w:t>
      </w:r>
    </w:p>
    <w:p w14:paraId="42FD70C3"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לקראת רטוריקה של חייל שתיקה</w:t>
      </w:r>
    </w:p>
    <w:p w14:paraId="0FDBBCC3"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ניתוח של שתיקה כאסטרטגיה נרטיבית בסיפוריו של נחום מנדל חושף ממדים מרובים של דמותו של החייל הישראלי</w:t>
      </w:r>
      <w:r w:rsidRPr="002A0EE0">
        <w:rPr>
          <w:rFonts w:asciiTheme="majorBidi" w:hAnsiTheme="majorBidi" w:cstheme="majorBidi"/>
          <w:sz w:val="24"/>
          <w:szCs w:val="24"/>
          <w:lang w:bidi="ar-IQ"/>
        </w:rPr>
        <w:t>:</w:t>
      </w:r>
    </w:p>
    <w:p w14:paraId="7BE5491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שתיקת הזהות: החייל האניגמטי (ג’ו) חסר זהות ברורה, ושתיקתו היא ביטוי לניכורו</w:t>
      </w:r>
      <w:r w:rsidRPr="002A0EE0">
        <w:rPr>
          <w:rFonts w:asciiTheme="majorBidi" w:hAnsiTheme="majorBidi" w:cstheme="majorBidi"/>
          <w:sz w:val="24"/>
          <w:szCs w:val="24"/>
          <w:lang w:bidi="ar-IQ"/>
        </w:rPr>
        <w:t>.</w:t>
      </w:r>
    </w:p>
    <w:p w14:paraId="26323021"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שתיקת האבל: שתיקה על הקבר הופכת לשפה חדשה לתקשורת עם הנעדר, אך זוהי שפה המכירה בחוסר האפשרות של תקשורת אמיתית</w:t>
      </w:r>
      <w:r w:rsidRPr="002A0EE0">
        <w:rPr>
          <w:rFonts w:asciiTheme="majorBidi" w:hAnsiTheme="majorBidi" w:cstheme="majorBidi"/>
          <w:sz w:val="24"/>
          <w:szCs w:val="24"/>
          <w:lang w:bidi="ar-IQ"/>
        </w:rPr>
        <w:t>.</w:t>
      </w:r>
    </w:p>
    <w:p w14:paraId="6E6D3921"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שתיקת הכאב: החייל הנכה (עמינדב) מדבר בקול מהוסס, כאשר שתיקה בתוך הדיבור הופכת לביטוי של כאב בל יתואר</w:t>
      </w:r>
      <w:r w:rsidRPr="002A0EE0">
        <w:rPr>
          <w:rFonts w:asciiTheme="majorBidi" w:hAnsiTheme="majorBidi" w:cstheme="majorBidi"/>
          <w:sz w:val="24"/>
          <w:szCs w:val="24"/>
          <w:lang w:bidi="ar-IQ"/>
        </w:rPr>
        <w:t>.</w:t>
      </w:r>
    </w:p>
    <w:p w14:paraId="6F358A57"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שתיקת ההיעדרות: בסיפורים שבהם החייל והאויב נעדרים, שתיקה בנוגע לפוליטיקה ולאלימות הופכת לבחירה ספרותית שמעבירה את המוקד לסכסוך הפנימי</w:t>
      </w:r>
      <w:r w:rsidRPr="002A0EE0">
        <w:rPr>
          <w:rFonts w:asciiTheme="majorBidi" w:hAnsiTheme="majorBidi" w:cstheme="majorBidi"/>
          <w:sz w:val="24"/>
          <w:szCs w:val="24"/>
          <w:lang w:bidi="ar-IQ"/>
        </w:rPr>
        <w:t>.</w:t>
      </w:r>
    </w:p>
    <w:p w14:paraId="74092669"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שתיקת הסוף: סופים פתוחים מקדשים את השתיקה כשאלה קיומית, שבה החייל נותר שאלה ללא מענה</w:t>
      </w:r>
      <w:r w:rsidRPr="002A0EE0">
        <w:rPr>
          <w:rFonts w:asciiTheme="majorBidi" w:hAnsiTheme="majorBidi" w:cstheme="majorBidi"/>
          <w:sz w:val="24"/>
          <w:szCs w:val="24"/>
          <w:lang w:bidi="ar-IQ"/>
        </w:rPr>
        <w:t>.</w:t>
      </w:r>
    </w:p>
    <w:p w14:paraId="1E137F43"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באמצעות שימוש בשתיקה, סיפוריו של מנדל מציגים חייל שמדבר דרך היעדר מילים, כאשר רגעי שתיקה הופכים משמעותיים יותר מדיאלוג, ושאלות פתוחות יותר אקספרסיביים מתשובות</w:t>
      </w:r>
      <w:r w:rsidRPr="002A0EE0">
        <w:rPr>
          <w:rFonts w:asciiTheme="majorBidi" w:hAnsiTheme="majorBidi" w:cstheme="majorBidi"/>
          <w:sz w:val="24"/>
          <w:szCs w:val="24"/>
          <w:lang w:bidi="ar-IQ"/>
        </w:rPr>
        <w:t>.</w:t>
      </w:r>
    </w:p>
    <w:p w14:paraId="6D05DD37"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מסקנות המחקר</w:t>
      </w:r>
      <w:r w:rsidRPr="002A0EE0">
        <w:rPr>
          <w:rFonts w:asciiTheme="majorBidi" w:hAnsiTheme="majorBidi" w:cstheme="majorBidi"/>
          <w:sz w:val="24"/>
          <w:szCs w:val="24"/>
          <w:lang w:bidi="ar-IQ"/>
        </w:rPr>
        <w:t>:</w:t>
      </w:r>
    </w:p>
    <w:p w14:paraId="150489CF"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lastRenderedPageBreak/>
        <w:t>סיפוריו של מנדל מעצבים מחדש את דמותו של החייל מגיבור מיתולוגי לבן אדם רגיל החוה רגעים של שעמום, שגרה וסכנה סמלית, ובכך מפרקים את הנרטיב הלאומי הרשמי</w:t>
      </w:r>
      <w:r w:rsidRPr="002A0EE0">
        <w:rPr>
          <w:rFonts w:asciiTheme="majorBidi" w:hAnsiTheme="majorBidi" w:cstheme="majorBidi"/>
          <w:sz w:val="24"/>
          <w:szCs w:val="24"/>
          <w:lang w:bidi="ar-IQ"/>
        </w:rPr>
        <w:t>.</w:t>
      </w:r>
    </w:p>
    <w:p w14:paraId="6A27835E"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גופו של החייל הופך מכלי כוח למשטח עליו חרוטה שבריריות הקיום. נכות (כמו בסיפור עמינדב) מתוארת כתוצאה של מקריות, לא של גבורה, ומדגישה את האבסורד של אלימות צבאית</w:t>
      </w:r>
      <w:r w:rsidRPr="002A0EE0">
        <w:rPr>
          <w:rFonts w:asciiTheme="majorBidi" w:hAnsiTheme="majorBidi" w:cstheme="majorBidi"/>
          <w:sz w:val="24"/>
          <w:szCs w:val="24"/>
          <w:lang w:bidi="ar-IQ"/>
        </w:rPr>
        <w:t>.</w:t>
      </w:r>
    </w:p>
    <w:p w14:paraId="08E79DB2" w14:textId="773ADC43" w:rsidR="002A0EE0" w:rsidRPr="002A0EE0" w:rsidRDefault="002A0EE0" w:rsidP="00B82249">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שתיקה משמשת כאסטרטגיה קיומית המשקפת את עמימותו וניכורו של החייל, והופכת לתחליף לדיאלוג בביטוי כאב, פחד וחוסר יכולת להבין את החוויה (כמו בדמותו של ג’ו</w:t>
      </w:r>
      <w:r w:rsidR="00B82249">
        <w:rPr>
          <w:rFonts w:asciiTheme="majorBidi" w:hAnsiTheme="majorBidi" w:cstheme="majorBidi" w:hint="cs"/>
          <w:sz w:val="24"/>
          <w:szCs w:val="24"/>
          <w:rtl/>
          <w:lang w:bidi="ar-IQ"/>
        </w:rPr>
        <w:t>)</w:t>
      </w:r>
      <w:r w:rsidRPr="002A0EE0">
        <w:rPr>
          <w:rFonts w:asciiTheme="majorBidi" w:hAnsiTheme="majorBidi" w:cstheme="majorBidi"/>
          <w:sz w:val="24"/>
          <w:szCs w:val="24"/>
          <w:lang w:bidi="ar-IQ"/>
        </w:rPr>
        <w:t>.</w:t>
      </w:r>
    </w:p>
    <w:p w14:paraId="38996266"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החייל מתואר בעמדה של פגיעות מוחלטת, שבה נכות או טראומה מפשילות ממנו כל דמות הרואית וחושפות אותו כקורבן של נסיבות שאינן בשליטתו, ולא כסוכן היסטורי</w:t>
      </w:r>
      <w:r w:rsidRPr="002A0EE0">
        <w:rPr>
          <w:rFonts w:asciiTheme="majorBidi" w:hAnsiTheme="majorBidi" w:cstheme="majorBidi"/>
          <w:sz w:val="24"/>
          <w:szCs w:val="24"/>
          <w:lang w:bidi="ar-IQ"/>
        </w:rPr>
        <w:t>.</w:t>
      </w:r>
    </w:p>
    <w:p w14:paraId="6F60A763"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סיפוריו של מנדל חושפים מתח בין זיכרון לאומי (טקסים, אנדרטאות) לזיכרון אישי (אבל, חברות, בדידות), שבו הזיכרון האישי נותר עמוק וכואב יותר. מרחבי גבול ושוליים (הר הצופים, סיני, החדר השכור) מתוארים כמראות למצבו הפסיכולוגי של החייל, המשקפים את בדידותו וניכורו גם ברגעי נוכחות צבאית</w:t>
      </w:r>
      <w:r w:rsidRPr="002A0EE0">
        <w:rPr>
          <w:rFonts w:asciiTheme="majorBidi" w:hAnsiTheme="majorBidi" w:cstheme="majorBidi"/>
          <w:sz w:val="24"/>
          <w:szCs w:val="24"/>
          <w:lang w:bidi="ar-IQ"/>
        </w:rPr>
        <w:t>.</w:t>
      </w:r>
    </w:p>
    <w:p w14:paraId="6A0273FA"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הסופים הפתוחים הופכים את החייל מדמות דרמטית לשאלה של זהות, זיכרון ומשמעות הקורבן, ומשאירים את הקורא במצב של ציפייה וצער</w:t>
      </w:r>
      <w:r w:rsidRPr="002A0EE0">
        <w:rPr>
          <w:rFonts w:asciiTheme="majorBidi" w:hAnsiTheme="majorBidi" w:cstheme="majorBidi"/>
          <w:sz w:val="24"/>
          <w:szCs w:val="24"/>
          <w:lang w:bidi="ar-IQ"/>
        </w:rPr>
        <w:t>.</w:t>
      </w:r>
    </w:p>
    <w:p w14:paraId="7B283720"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החייל האניגמטי (ג’ו) מייצג סמל לניכור אנושי בחברה מלאה בחיילים נשכחים, שזהותם נותרת לא שלמה גם לאחר המוות</w:t>
      </w:r>
      <w:r w:rsidRPr="002A0EE0">
        <w:rPr>
          <w:rFonts w:asciiTheme="majorBidi" w:hAnsiTheme="majorBidi" w:cstheme="majorBidi"/>
          <w:sz w:val="24"/>
          <w:szCs w:val="24"/>
          <w:lang w:bidi="ar-IQ"/>
        </w:rPr>
        <w:t>.</w:t>
      </w:r>
    </w:p>
    <w:p w14:paraId="50D7C9C0"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דממה על הקבר הופכת לאמצעי להעברת זיכרון מדור לדור, אך היא אינה מעבירה ידע; אלא, היא נושאת שאלה על הנעדר</w:t>
      </w:r>
      <w:r w:rsidRPr="002A0EE0">
        <w:rPr>
          <w:rFonts w:asciiTheme="majorBidi" w:hAnsiTheme="majorBidi" w:cstheme="majorBidi"/>
          <w:sz w:val="24"/>
          <w:szCs w:val="24"/>
          <w:lang w:bidi="ar-IQ"/>
        </w:rPr>
        <w:t>.</w:t>
      </w:r>
    </w:p>
    <w:p w14:paraId="01639FCC" w14:textId="77777777" w:rsidR="002A0EE0" w:rsidRPr="002A0EE0" w:rsidRDefault="002A0EE0" w:rsidP="002A0EE0">
      <w:pPr>
        <w:pStyle w:val="a6"/>
        <w:bidi/>
        <w:jc w:val="both"/>
        <w:rPr>
          <w:rFonts w:asciiTheme="majorBidi" w:hAnsiTheme="majorBidi" w:cstheme="majorBidi"/>
          <w:sz w:val="24"/>
          <w:szCs w:val="24"/>
          <w:rtl/>
          <w:lang w:bidi="ar-IQ"/>
        </w:rPr>
      </w:pPr>
      <w:r w:rsidRPr="002A0EE0">
        <w:rPr>
          <w:rFonts w:asciiTheme="majorBidi" w:hAnsiTheme="majorBidi" w:cstheme="majorBidi"/>
          <w:sz w:val="24"/>
          <w:szCs w:val="24"/>
          <w:rtl/>
          <w:lang w:bidi="he-IL"/>
        </w:rPr>
        <w:t>סיפוריו של מנדל מציגים דימוי חדש של החייל הישראלי: בן אדם שברירי, החי במרחבים מבודדים, סובל מטראומה פיזית ופסיכולוגית, רחוק מהנרטיב ההרואי הרשמי</w:t>
      </w:r>
      <w:r w:rsidRPr="002A0EE0">
        <w:rPr>
          <w:rFonts w:asciiTheme="majorBidi" w:hAnsiTheme="majorBidi" w:cstheme="majorBidi"/>
          <w:sz w:val="24"/>
          <w:szCs w:val="24"/>
          <w:lang w:bidi="ar-IQ"/>
        </w:rPr>
        <w:t>.</w:t>
      </w:r>
    </w:p>
    <w:p w14:paraId="09DCA77E" w14:textId="65F60ECD" w:rsidR="002A0EE0" w:rsidRPr="002A0EE0" w:rsidRDefault="002A0EE0" w:rsidP="002A0EE0">
      <w:pPr>
        <w:pStyle w:val="a6"/>
        <w:bidi/>
        <w:jc w:val="both"/>
        <w:rPr>
          <w:rFonts w:asciiTheme="majorBidi" w:hAnsiTheme="majorBidi" w:cstheme="majorBidi"/>
          <w:sz w:val="24"/>
          <w:szCs w:val="24"/>
          <w:lang w:bidi="ar-IQ"/>
        </w:rPr>
      </w:pPr>
      <w:r w:rsidRPr="002A0EE0">
        <w:rPr>
          <w:rFonts w:asciiTheme="majorBidi" w:hAnsiTheme="majorBidi" w:cstheme="majorBidi"/>
          <w:sz w:val="24"/>
          <w:szCs w:val="24"/>
          <w:rtl/>
          <w:lang w:bidi="he-IL"/>
        </w:rPr>
        <w:t>המקורות העבריים:</w:t>
      </w:r>
    </w:p>
    <w:p w14:paraId="6B42573F" w14:textId="77777777" w:rsidR="002A0EE0" w:rsidRDefault="002A0EE0" w:rsidP="002A0EE0">
      <w:pPr>
        <w:pStyle w:val="a6"/>
        <w:jc w:val="both"/>
        <w:rPr>
          <w:rFonts w:ascii="Times New Roman" w:hAnsi="Times New Roman" w:cs="Times New Roman"/>
          <w:sz w:val="24"/>
          <w:szCs w:val="24"/>
          <w:lang w:bidi="he-IL"/>
        </w:rPr>
      </w:pPr>
    </w:p>
    <w:p w14:paraId="6B1A0BA3" w14:textId="77777777" w:rsidR="002A0EE0" w:rsidRDefault="002A0EE0" w:rsidP="002A0EE0">
      <w:pPr>
        <w:pStyle w:val="a6"/>
        <w:jc w:val="both"/>
        <w:rPr>
          <w:rFonts w:ascii="Times New Roman" w:hAnsi="Times New Roman" w:cs="Times New Roman"/>
          <w:b/>
          <w:bCs/>
          <w:sz w:val="24"/>
          <w:szCs w:val="24"/>
          <w:lang w:bidi="ar-IQ"/>
        </w:rPr>
      </w:pPr>
      <w:r>
        <w:rPr>
          <w:rFonts w:ascii="Times New Roman" w:hAnsi="Times New Roman" w:cs="Times New Roman"/>
          <w:b/>
          <w:bCs/>
          <w:sz w:val="24"/>
          <w:szCs w:val="24"/>
          <w:lang w:bidi="ar-IQ"/>
        </w:rPr>
        <w:t>Acknowledgements</w:t>
      </w:r>
      <w:r>
        <w:rPr>
          <w:rFonts w:ascii="Times New Roman" w:hAnsi="Times New Roman" w:cs="Times New Roman"/>
          <w:b/>
          <w:bCs/>
          <w:sz w:val="24"/>
          <w:szCs w:val="24"/>
          <w:rtl/>
          <w:lang w:bidi="he-IL"/>
        </w:rPr>
        <w:t>:</w:t>
      </w:r>
    </w:p>
    <w:p w14:paraId="613D60E0" w14:textId="77777777" w:rsidR="002A0EE0" w:rsidRDefault="002A0EE0" w:rsidP="002A0EE0">
      <w:pPr>
        <w:pStyle w:val="a6"/>
        <w:jc w:val="both"/>
        <w:rPr>
          <w:rFonts w:ascii="Times New Roman" w:hAnsi="Times New Roman" w:cs="Times New Roman"/>
          <w:sz w:val="24"/>
          <w:szCs w:val="24"/>
          <w:lang w:bidi="ar-IQ"/>
        </w:rPr>
      </w:pPr>
      <w:r>
        <w:rPr>
          <w:rFonts w:ascii="Times New Roman" w:hAnsi="Times New Roman" w:cs="Times New Roman"/>
          <w:sz w:val="24"/>
          <w:szCs w:val="24"/>
          <w:lang w:bidi="ar-IQ"/>
        </w:rPr>
        <w:t>The researcher would appreciate all the efforts that are given by the colleagues in the University of Misan/ College of Basic Education to enrich my work with the essential peer-review to this work</w:t>
      </w:r>
      <w:r>
        <w:rPr>
          <w:rFonts w:ascii="Times New Roman" w:hAnsi="Times New Roman" w:cs="Times New Roman"/>
          <w:sz w:val="24"/>
          <w:szCs w:val="24"/>
          <w:rtl/>
          <w:lang w:bidi="he-IL"/>
        </w:rPr>
        <w:t>.</w:t>
      </w:r>
    </w:p>
    <w:p w14:paraId="0ABA6A8A" w14:textId="77777777" w:rsidR="002A0EE0" w:rsidRDefault="002A0EE0" w:rsidP="002A0EE0">
      <w:pPr>
        <w:pStyle w:val="a6"/>
        <w:jc w:val="both"/>
        <w:rPr>
          <w:rFonts w:ascii="Times New Roman" w:hAnsi="Times New Roman" w:cs="Times New Roman"/>
          <w:b/>
          <w:bCs/>
          <w:sz w:val="24"/>
          <w:szCs w:val="24"/>
          <w:lang w:bidi="ar-IQ"/>
        </w:rPr>
      </w:pPr>
      <w:r>
        <w:rPr>
          <w:rFonts w:ascii="Times New Roman" w:hAnsi="Times New Roman" w:cs="Times New Roman"/>
          <w:b/>
          <w:bCs/>
          <w:sz w:val="24"/>
          <w:szCs w:val="24"/>
          <w:lang w:bidi="ar-IQ"/>
        </w:rPr>
        <w:t>Declaration of Competing Interest</w:t>
      </w:r>
      <w:r>
        <w:rPr>
          <w:rFonts w:ascii="Times New Roman" w:hAnsi="Times New Roman" w:cs="Times New Roman"/>
          <w:b/>
          <w:bCs/>
          <w:sz w:val="24"/>
          <w:szCs w:val="24"/>
          <w:rtl/>
          <w:lang w:bidi="he-IL"/>
        </w:rPr>
        <w:t>:</w:t>
      </w:r>
    </w:p>
    <w:p w14:paraId="2C95D898" w14:textId="77777777" w:rsidR="002A0EE0" w:rsidRPr="00B82249" w:rsidRDefault="002A0EE0" w:rsidP="002A0EE0">
      <w:pPr>
        <w:pStyle w:val="a6"/>
        <w:jc w:val="both"/>
        <w:rPr>
          <w:rFonts w:ascii="Simplified Arabic" w:hAnsi="Simplified Arabic" w:cs="Simplified Arabic"/>
          <w:b/>
          <w:bCs/>
          <w:sz w:val="24"/>
          <w:szCs w:val="24"/>
          <w:rtl/>
          <w:lang w:bidi="ar-IQ"/>
        </w:rPr>
      </w:pPr>
      <w:r>
        <w:rPr>
          <w:rFonts w:ascii="Times New Roman" w:hAnsi="Times New Roman" w:cs="Times New Roman"/>
          <w:sz w:val="24"/>
          <w:szCs w:val="24"/>
          <w:lang w:bidi="ar-IQ"/>
        </w:rPr>
        <w:t>The researcher declares that he has no known competing financial interests or personal relationships that could have appeared to influence the work reported in this paper.</w:t>
      </w:r>
    </w:p>
    <w:p w14:paraId="71123681" w14:textId="2820E5C3" w:rsidR="002A0EE0" w:rsidRPr="00B82249" w:rsidRDefault="00B82249" w:rsidP="002A0EE0">
      <w:pPr>
        <w:pStyle w:val="a6"/>
        <w:bidi/>
        <w:jc w:val="both"/>
        <w:rPr>
          <w:rFonts w:ascii="Simplified Arabic" w:hAnsi="Simplified Arabic" w:cs="Simplified Arabic"/>
          <w:b/>
          <w:bCs/>
          <w:sz w:val="24"/>
          <w:szCs w:val="24"/>
          <w:rtl/>
          <w:lang w:bidi="ar-IQ"/>
        </w:rPr>
      </w:pPr>
      <w:r w:rsidRPr="00B82249">
        <w:rPr>
          <w:rFonts w:ascii="Simplified Arabic" w:hAnsi="Simplified Arabic" w:cs="Simplified Arabic"/>
          <w:b/>
          <w:bCs/>
          <w:sz w:val="24"/>
          <w:szCs w:val="24"/>
          <w:rtl/>
          <w:lang w:bidi="ar-IQ"/>
        </w:rPr>
        <w:t>المراجع:</w:t>
      </w:r>
    </w:p>
    <w:p w14:paraId="4F1195FD" w14:textId="77777777"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(1) Bigon, Liora &amp; Langenthal, Edna. "Tirailleurs Sénégalais in Modern Hebrew Poetry: Nathan Alterman." Humanities, vol. 12, no. 6, 2023.</w:t>
      </w:r>
    </w:p>
    <w:p w14:paraId="3FB792CB" w14:textId="380377B8" w:rsidR="002A0EE0" w:rsidRPr="002A0EE0" w:rsidRDefault="004C1FF1"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 xml:space="preserve"> </w:t>
      </w:r>
      <w:r w:rsidR="002A0EE0" w:rsidRPr="002A0EE0">
        <w:rPr>
          <w:rFonts w:asciiTheme="majorBidi" w:hAnsiTheme="majorBidi" w:cstheme="majorBidi"/>
          <w:sz w:val="24"/>
          <w:szCs w:val="24"/>
          <w:lang w:bidi="ar-IQ"/>
        </w:rPr>
        <w:t xml:space="preserve">( </w:t>
      </w:r>
      <w:r w:rsidR="00B82249">
        <w:rPr>
          <w:rFonts w:asciiTheme="majorBidi" w:hAnsiTheme="majorBidi" w:cstheme="majorBidi"/>
          <w:sz w:val="24"/>
          <w:szCs w:val="24"/>
          <w:lang w:bidi="ar-IQ"/>
        </w:rPr>
        <w:t>2</w:t>
      </w:r>
      <w:r w:rsidR="002A0EE0" w:rsidRPr="002A0EE0">
        <w:rPr>
          <w:rFonts w:asciiTheme="majorBidi" w:hAnsiTheme="majorBidi" w:cstheme="majorBidi"/>
          <w:sz w:val="24"/>
          <w:szCs w:val="24"/>
          <w:lang w:bidi="ar-IQ"/>
        </w:rPr>
        <w:t xml:space="preserve">) Guns and Roses: Representations of Soldiers and War in Modern Hebrew Literature. Course Description, Borns Jewish Studies Program, Indiana University. </w:t>
      </w:r>
    </w:p>
    <w:p w14:paraId="008753EF" w14:textId="39451D51" w:rsidR="002A0EE0" w:rsidRPr="002A0EE0" w:rsidRDefault="002A0EE0" w:rsidP="004C1FF1">
      <w:pPr>
        <w:pStyle w:val="a6"/>
        <w:bidi/>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3</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ar-IQ"/>
        </w:rPr>
        <w:t>ميندلسون</w:t>
      </w:r>
      <w:r w:rsidRPr="002A0EE0">
        <w:rPr>
          <w:rFonts w:asciiTheme="majorBidi" w:hAnsiTheme="majorBidi" w:cs="Times New Roman"/>
          <w:sz w:val="24"/>
          <w:szCs w:val="24"/>
          <w:rtl/>
          <w:lang w:bidi="ar-IQ"/>
        </w:rPr>
        <w:t>-</w:t>
      </w:r>
      <w:r w:rsidRPr="002A0EE0">
        <w:rPr>
          <w:rFonts w:asciiTheme="majorBidi" w:hAnsiTheme="majorBidi" w:cs="Times New Roman" w:hint="cs"/>
          <w:sz w:val="24"/>
          <w:szCs w:val="24"/>
          <w:rtl/>
          <w:lang w:bidi="ar-IQ"/>
        </w:rPr>
        <w:t>ماعوز،</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عاديا</w:t>
      </w:r>
      <w:r w:rsidRPr="002A0EE0">
        <w:rPr>
          <w:rFonts w:asciiTheme="majorBidi" w:hAnsiTheme="majorBidi" w:cs="Times New Roman"/>
          <w:sz w:val="24"/>
          <w:szCs w:val="24"/>
          <w:rtl/>
          <w:lang w:bidi="ar-IQ"/>
        </w:rPr>
        <w:t>. "</w:t>
      </w:r>
      <w:r w:rsidRPr="002A0EE0">
        <w:rPr>
          <w:rFonts w:asciiTheme="majorBidi" w:hAnsiTheme="majorBidi" w:cs="Times New Roman" w:hint="cs"/>
          <w:sz w:val="24"/>
          <w:szCs w:val="24"/>
          <w:rtl/>
          <w:lang w:bidi="ar-IQ"/>
        </w:rPr>
        <w:t>العنف،</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الأخلاق</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والمأساة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الجندي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الإسرائيلي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في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الأدب</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العبري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زمن</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الانتفاضة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في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استكشاف</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العنف</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في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العائلات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والمجتمعات،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بريل،</w:t>
      </w:r>
      <w:r w:rsidRPr="002A0EE0">
        <w:rPr>
          <w:rFonts w:asciiTheme="majorBidi" w:hAnsiTheme="majorBidi" w:cs="Times New Roman"/>
          <w:sz w:val="24"/>
          <w:szCs w:val="24"/>
          <w:rtl/>
          <w:lang w:bidi="ar-IQ"/>
        </w:rPr>
        <w:t xml:space="preserve"> 2011</w:t>
      </w:r>
      <w:r w:rsidRPr="002A0EE0">
        <w:rPr>
          <w:rFonts w:asciiTheme="majorBidi" w:hAnsiTheme="majorBidi" w:cstheme="majorBidi"/>
          <w:sz w:val="24"/>
          <w:szCs w:val="24"/>
          <w:lang w:bidi="ar-IQ"/>
        </w:rPr>
        <w:t>.</w:t>
      </w:r>
    </w:p>
    <w:p w14:paraId="62ABB7A9" w14:textId="2B828B49"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4</w:t>
      </w:r>
      <w:r w:rsidRPr="002A0EE0">
        <w:rPr>
          <w:rFonts w:asciiTheme="majorBidi" w:hAnsiTheme="majorBidi" w:cstheme="majorBidi"/>
          <w:sz w:val="24"/>
          <w:szCs w:val="24"/>
          <w:lang w:bidi="ar-IQ"/>
        </w:rPr>
        <w:t xml:space="preserve"> ) Heddy Shait. (2012) The dilemma of missing soldiers in contemporary Israeli literature: narratives of quest and deviation, The Australian Journal of Jewish Studies (Vol. 26).</w:t>
      </w:r>
    </w:p>
    <w:p w14:paraId="70B1C54E" w14:textId="4A2647B6"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 xml:space="preserve">( </w:t>
      </w:r>
      <w:r w:rsidR="00B82249">
        <w:rPr>
          <w:rFonts w:asciiTheme="majorBidi" w:hAnsiTheme="majorBidi" w:cstheme="majorBidi"/>
          <w:sz w:val="24"/>
          <w:szCs w:val="24"/>
          <w:lang w:bidi="ar-IQ"/>
        </w:rPr>
        <w:t>5</w:t>
      </w:r>
      <w:r w:rsidRPr="002A0EE0">
        <w:rPr>
          <w:rFonts w:asciiTheme="majorBidi" w:hAnsiTheme="majorBidi" w:cstheme="majorBidi"/>
          <w:sz w:val="24"/>
          <w:szCs w:val="24"/>
          <w:lang w:bidi="ar-IQ"/>
        </w:rPr>
        <w:t>) Heddy Shait. (2012) The dilemma of missing soldiers in contemporary Israeli literature: narratives of quest and deviation, The Australian Journal of Jewish Studies (Vol. 26).</w:t>
      </w:r>
    </w:p>
    <w:p w14:paraId="6EEB30C0" w14:textId="3999E2F1"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6</w:t>
      </w:r>
      <w:r w:rsidRPr="002A0EE0">
        <w:rPr>
          <w:rFonts w:asciiTheme="majorBidi" w:hAnsiTheme="majorBidi" w:cstheme="majorBidi"/>
          <w:sz w:val="24"/>
          <w:szCs w:val="24"/>
          <w:lang w:bidi="ar-IQ"/>
        </w:rPr>
        <w:t xml:space="preserve"> ) Mendelson-Maoz, Adia. "Violence, Morality and Tragedy: The Israeli Soldier in the Hebrew Literature of the Intifada." Exploring Violence in Families and Societies, Inter-Disciplinary Press, 2011.</w:t>
      </w:r>
    </w:p>
    <w:p w14:paraId="4FBA39D9" w14:textId="5FA3F883"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lastRenderedPageBreak/>
        <w:t xml:space="preserve">( </w:t>
      </w:r>
      <w:r w:rsidR="00B82249">
        <w:rPr>
          <w:rFonts w:asciiTheme="majorBidi" w:hAnsiTheme="majorBidi" w:cstheme="majorBidi"/>
          <w:sz w:val="24"/>
          <w:szCs w:val="24"/>
          <w:lang w:bidi="ar-IQ"/>
        </w:rPr>
        <w:t>7</w:t>
      </w:r>
      <w:r w:rsidRPr="002A0EE0">
        <w:rPr>
          <w:rFonts w:asciiTheme="majorBidi" w:hAnsiTheme="majorBidi" w:cstheme="majorBidi"/>
          <w:sz w:val="24"/>
          <w:szCs w:val="24"/>
          <w:lang w:bidi="ar-IQ"/>
        </w:rPr>
        <w:t>) Rothrm, Nitzan. "The Domestication of Suicide through Solidarity and Responsibility: Suicide of Soldiers in Israel Defense Forces as Portrayed in Psychology, Law and Modern Hebrew Literature." MA Thesis, The Hebrew University of Jerusalem, 2013.</w:t>
      </w:r>
    </w:p>
    <w:p w14:paraId="364A1CAA" w14:textId="3081A5F0"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8</w:t>
      </w:r>
      <w:r w:rsidRPr="002A0EE0">
        <w:rPr>
          <w:rFonts w:asciiTheme="majorBidi" w:hAnsiTheme="majorBidi" w:cstheme="majorBidi"/>
          <w:sz w:val="24"/>
          <w:szCs w:val="24"/>
          <w:lang w:bidi="ar-IQ"/>
        </w:rPr>
        <w:t xml:space="preserve"> ) Ben-Dov, Nitza. War Lives: Revenge, Grief, and Conflict in Israeli Fiction. Syracuse University Press, 2024.</w:t>
      </w:r>
    </w:p>
    <w:p w14:paraId="543A6FA3" w14:textId="78C7B4B0"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9</w:t>
      </w:r>
      <w:r w:rsidRPr="002A0EE0">
        <w:rPr>
          <w:rFonts w:asciiTheme="majorBidi" w:hAnsiTheme="majorBidi" w:cstheme="majorBidi"/>
          <w:sz w:val="24"/>
          <w:szCs w:val="24"/>
          <w:lang w:bidi="ar-IQ"/>
        </w:rPr>
        <w:t xml:space="preserve"> ) Ben-Dov, Nitza. War Lives: Revenge, Grief, and Conflict in Israeli Fiction. Syracuse University Press, 2024.</w:t>
      </w:r>
    </w:p>
    <w:p w14:paraId="60D99DCC" w14:textId="206BAF3D" w:rsidR="002A0EE0" w:rsidRPr="002A0EE0" w:rsidRDefault="002A0EE0" w:rsidP="004C1FF1">
      <w:pPr>
        <w:pStyle w:val="a6"/>
        <w:bidi/>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10</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56</w:t>
      </w:r>
      <w:r w:rsidRPr="002A0EE0">
        <w:rPr>
          <w:rFonts w:asciiTheme="majorBidi" w:hAnsiTheme="majorBidi" w:cstheme="majorBidi"/>
          <w:sz w:val="24"/>
          <w:szCs w:val="24"/>
          <w:lang w:bidi="ar-IQ"/>
        </w:rPr>
        <w:t>.</w:t>
      </w:r>
    </w:p>
    <w:p w14:paraId="1787964B" w14:textId="5E2E6ED5"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11</w:t>
      </w:r>
      <w:r w:rsidRPr="002A0EE0">
        <w:rPr>
          <w:rFonts w:asciiTheme="majorBidi" w:hAnsiTheme="majorBidi" w:cstheme="majorBidi"/>
          <w:sz w:val="24"/>
          <w:szCs w:val="24"/>
          <w:lang w:bidi="ar-IQ"/>
        </w:rPr>
        <w:t xml:space="preserve"> ) Shait, Heddy. "The dilemma of missing soldiers in contemporary Israeli literature: narratives of quest and deviation." The Australian Journal of Jewish Studies, vol. 26, 2012.</w:t>
      </w:r>
    </w:p>
    <w:p w14:paraId="479D8666" w14:textId="365EB9A5"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12</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35</w:t>
      </w:r>
      <w:r w:rsidRPr="002A0EE0">
        <w:rPr>
          <w:rFonts w:asciiTheme="majorBidi" w:hAnsiTheme="majorBidi" w:cstheme="majorBidi"/>
          <w:sz w:val="24"/>
          <w:szCs w:val="24"/>
          <w:lang w:bidi="ar-IQ"/>
        </w:rPr>
        <w:t>.</w:t>
      </w:r>
    </w:p>
    <w:p w14:paraId="0139D804" w14:textId="6B04C7BB"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13</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34</w:t>
      </w:r>
      <w:r w:rsidRPr="002A0EE0">
        <w:rPr>
          <w:rFonts w:asciiTheme="majorBidi" w:hAnsiTheme="majorBidi" w:cstheme="majorBidi"/>
          <w:sz w:val="24"/>
          <w:szCs w:val="24"/>
          <w:lang w:bidi="ar-IQ"/>
        </w:rPr>
        <w:t>.</w:t>
      </w:r>
    </w:p>
    <w:p w14:paraId="2320C694" w14:textId="316F3424"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14</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36</w:t>
      </w:r>
      <w:r w:rsidRPr="002A0EE0">
        <w:rPr>
          <w:rFonts w:asciiTheme="majorBidi" w:hAnsiTheme="majorBidi" w:cstheme="majorBidi"/>
          <w:sz w:val="24"/>
          <w:szCs w:val="24"/>
          <w:lang w:bidi="ar-IQ"/>
        </w:rPr>
        <w:t>.</w:t>
      </w:r>
    </w:p>
    <w:p w14:paraId="3B6EED4A" w14:textId="12300F70"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15</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36</w:t>
      </w:r>
      <w:r w:rsidRPr="002A0EE0">
        <w:rPr>
          <w:rFonts w:asciiTheme="majorBidi" w:hAnsiTheme="majorBidi" w:cstheme="majorBidi"/>
          <w:sz w:val="24"/>
          <w:szCs w:val="24"/>
          <w:lang w:bidi="ar-IQ"/>
        </w:rPr>
        <w:t>.</w:t>
      </w:r>
    </w:p>
    <w:p w14:paraId="299206D7" w14:textId="58CD04AB"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 xml:space="preserve">( </w:t>
      </w:r>
      <w:r w:rsidR="00B82249">
        <w:rPr>
          <w:rFonts w:asciiTheme="majorBidi" w:hAnsiTheme="majorBidi" w:cstheme="majorBidi"/>
          <w:sz w:val="24"/>
          <w:szCs w:val="24"/>
          <w:lang w:bidi="ar-IQ"/>
        </w:rPr>
        <w:t>16</w:t>
      </w:r>
      <w:r w:rsidRPr="002A0EE0">
        <w:rPr>
          <w:rFonts w:asciiTheme="majorBidi" w:hAnsiTheme="majorBidi" w:cstheme="majorBidi"/>
          <w:sz w:val="24"/>
          <w:szCs w:val="24"/>
          <w:lang w:bidi="ar-IQ"/>
        </w:rPr>
        <w:t>) Shait, Heddy. "The dilemma of missing soldiers in contemporary Israeli literature: narratives of quest and deviation." The Australian Journal of Jewish Studies, vol. 26, 2012, p: 91.</w:t>
      </w:r>
    </w:p>
    <w:p w14:paraId="621D24E5" w14:textId="4C38EAD0" w:rsidR="002A0EE0" w:rsidRPr="002A0EE0" w:rsidRDefault="002A0EE0" w:rsidP="002A0EE0">
      <w:pPr>
        <w:pStyle w:val="a6"/>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17</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34</w:t>
      </w:r>
      <w:r w:rsidRPr="002A0EE0">
        <w:rPr>
          <w:rFonts w:asciiTheme="majorBidi" w:hAnsiTheme="majorBidi" w:cstheme="majorBidi"/>
          <w:sz w:val="24"/>
          <w:szCs w:val="24"/>
          <w:lang w:bidi="ar-IQ"/>
        </w:rPr>
        <w:t>.</w:t>
      </w:r>
    </w:p>
    <w:p w14:paraId="131D4747" w14:textId="3E950D79"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18</w:t>
      </w:r>
      <w:r w:rsidRPr="002A0EE0">
        <w:rPr>
          <w:rFonts w:asciiTheme="majorBidi" w:hAnsiTheme="majorBidi" w:cstheme="majorBidi"/>
          <w:sz w:val="24"/>
          <w:szCs w:val="24"/>
          <w:lang w:bidi="ar-IQ"/>
        </w:rPr>
        <w:t xml:space="preserve"> ) Shait, Heddy. "The dilemma of missing soldiers in contemporary Israeli literature: narratives of quest and deviation." The Australian Journal of Jewish Studies, vol. 26, 2012, p: 88.</w:t>
      </w:r>
    </w:p>
    <w:p w14:paraId="6544195A" w14:textId="7732A19D"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19</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38</w:t>
      </w:r>
      <w:r w:rsidRPr="002A0EE0">
        <w:rPr>
          <w:rFonts w:asciiTheme="majorBidi" w:hAnsiTheme="majorBidi" w:cstheme="majorBidi"/>
          <w:sz w:val="24"/>
          <w:szCs w:val="24"/>
          <w:lang w:bidi="ar-IQ"/>
        </w:rPr>
        <w:t>.</w:t>
      </w:r>
    </w:p>
    <w:p w14:paraId="008D7222" w14:textId="6C6EE8E3"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20</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ar-IQ"/>
        </w:rPr>
        <w:t>رشيد،</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علي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محمد</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فلسطين</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وتجلياتها</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في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نتاجات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سيد</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قشوع</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الأدبية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المجلة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الامريكية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الدولية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المحكمة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للعلوم</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الانسانية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والاجتماعية،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العدد</w:t>
      </w:r>
      <w:r w:rsidRPr="002A0EE0">
        <w:rPr>
          <w:rFonts w:asciiTheme="majorBidi" w:hAnsiTheme="majorBidi" w:cs="Times New Roman"/>
          <w:sz w:val="24"/>
          <w:szCs w:val="24"/>
          <w:rtl/>
          <w:lang w:bidi="ar-IQ"/>
        </w:rPr>
        <w:t xml:space="preserve"> 13</w:t>
      </w:r>
      <w:r w:rsidRPr="002A0EE0">
        <w:rPr>
          <w:rFonts w:asciiTheme="majorBidi" w:hAnsiTheme="majorBidi" w:cs="Times New Roman" w:hint="cs"/>
          <w:sz w:val="24"/>
          <w:szCs w:val="24"/>
          <w:rtl/>
          <w:lang w:bidi="ar-IQ"/>
        </w:rPr>
        <w:t>،</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الجزء</w:t>
      </w:r>
      <w:r w:rsidRPr="002A0EE0">
        <w:rPr>
          <w:rFonts w:asciiTheme="majorBidi" w:hAnsiTheme="majorBidi" w:cs="Times New Roman"/>
          <w:sz w:val="24"/>
          <w:szCs w:val="24"/>
          <w:rtl/>
          <w:lang w:bidi="ar-IQ"/>
        </w:rPr>
        <w:t xml:space="preserve"> 3</w:t>
      </w:r>
      <w:r w:rsidRPr="002A0EE0">
        <w:rPr>
          <w:rFonts w:asciiTheme="majorBidi" w:hAnsiTheme="majorBidi" w:cs="Times New Roman" w:hint="cs"/>
          <w:sz w:val="24"/>
          <w:szCs w:val="24"/>
          <w:rtl/>
          <w:lang w:bidi="ar-IQ"/>
        </w:rPr>
        <w:t>،</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الاكاديمية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الامريكية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الدولية،</w:t>
      </w:r>
      <w:r w:rsidRPr="002A0EE0">
        <w:rPr>
          <w:rFonts w:asciiTheme="majorBidi" w:hAnsiTheme="majorBidi" w:cs="Times New Roman"/>
          <w:sz w:val="24"/>
          <w:szCs w:val="24"/>
          <w:rtl/>
          <w:lang w:bidi="ar-IQ"/>
        </w:rPr>
        <w:t xml:space="preserve"> 2024</w:t>
      </w:r>
      <w:r w:rsidRPr="002A0EE0">
        <w:rPr>
          <w:rFonts w:asciiTheme="majorBidi" w:hAnsiTheme="majorBidi" w:cstheme="majorBidi"/>
          <w:sz w:val="24"/>
          <w:szCs w:val="24"/>
          <w:lang w:bidi="ar-IQ"/>
        </w:rPr>
        <w:t xml:space="preserve">. </w:t>
      </w:r>
    </w:p>
    <w:p w14:paraId="4D602D0F" w14:textId="75E9392F"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 xml:space="preserve">( </w:t>
      </w:r>
      <w:r w:rsidR="00B82249">
        <w:rPr>
          <w:rFonts w:asciiTheme="majorBidi" w:hAnsiTheme="majorBidi" w:cstheme="majorBidi"/>
          <w:sz w:val="24"/>
          <w:szCs w:val="24"/>
          <w:lang w:bidi="ar-IQ"/>
        </w:rPr>
        <w:t>21</w:t>
      </w:r>
      <w:r w:rsidRPr="002A0EE0">
        <w:rPr>
          <w:rFonts w:asciiTheme="majorBidi" w:hAnsiTheme="majorBidi" w:cstheme="majorBidi"/>
          <w:sz w:val="24"/>
          <w:szCs w:val="24"/>
          <w:lang w:bidi="ar-IQ"/>
        </w:rPr>
        <w:t xml:space="preserve">) </w:t>
      </w:r>
      <w:r w:rsidRPr="002A0EE0">
        <w:rPr>
          <w:rFonts w:asciiTheme="majorBidi" w:hAnsiTheme="majorBidi" w:cs="Times New Roman" w:hint="cs"/>
          <w:sz w:val="24"/>
          <w:szCs w:val="24"/>
          <w:rtl/>
          <w:lang w:bidi="ar-IQ"/>
        </w:rPr>
        <w:t>عبد</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المجيد</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سباطة،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لماذا</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لا</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نعرف</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شيئا</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عن</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الأدب</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الصهيوني؟،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مقال</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منشور</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في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موقع</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الجزيرة</w:t>
      </w:r>
      <w:r w:rsidRPr="002A0EE0">
        <w:rPr>
          <w:rFonts w:asciiTheme="majorBidi" w:hAnsiTheme="majorBidi" w:cstheme="majorBidi"/>
          <w:sz w:val="24"/>
          <w:szCs w:val="24"/>
          <w:lang w:bidi="ar-IQ"/>
        </w:rPr>
        <w:t>:</w:t>
      </w:r>
    </w:p>
    <w:p w14:paraId="7DAD86D1" w14:textId="77777777" w:rsidR="002A0EE0" w:rsidRPr="002A0EE0" w:rsidRDefault="002A0EE0" w:rsidP="004C1FF1">
      <w:pPr>
        <w:pStyle w:val="a6"/>
        <w:bidi/>
        <w:rPr>
          <w:rFonts w:asciiTheme="majorBidi" w:hAnsiTheme="majorBidi" w:cstheme="majorBidi"/>
          <w:sz w:val="24"/>
          <w:szCs w:val="24"/>
          <w:lang w:bidi="ar-IQ"/>
        </w:rPr>
      </w:pPr>
      <w:r w:rsidRPr="002A0EE0">
        <w:rPr>
          <w:rFonts w:asciiTheme="majorBidi" w:hAnsiTheme="majorBidi" w:cstheme="majorBidi"/>
          <w:sz w:val="24"/>
          <w:szCs w:val="24"/>
          <w:lang w:bidi="ar-IQ"/>
        </w:rPr>
        <w:t>https://www.aljazeera.net/blogs/2017/12/11/</w:t>
      </w:r>
    </w:p>
    <w:p w14:paraId="0519FA96" w14:textId="0F43AF7F"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22</w:t>
      </w:r>
      <w:r w:rsidRPr="002A0EE0">
        <w:rPr>
          <w:rFonts w:asciiTheme="majorBidi" w:hAnsiTheme="majorBidi" w:cstheme="majorBidi"/>
          <w:sz w:val="24"/>
          <w:szCs w:val="24"/>
          <w:lang w:bidi="ar-IQ"/>
        </w:rPr>
        <w:t xml:space="preserve"> ) Booker, Christopher. The Seven Basic Plots: Why We Tell Stories. Continuum, 2004, p: 72.</w:t>
      </w:r>
    </w:p>
    <w:p w14:paraId="50AF0D4E" w14:textId="32B05283"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23</w:t>
      </w:r>
      <w:r w:rsidRPr="002A0EE0">
        <w:rPr>
          <w:rFonts w:asciiTheme="majorBidi" w:hAnsiTheme="majorBidi" w:cstheme="majorBidi"/>
          <w:sz w:val="24"/>
          <w:szCs w:val="24"/>
          <w:lang w:bidi="ar-IQ"/>
        </w:rPr>
        <w:t xml:space="preserve"> ) Shait, Heddy. "The dilemma of missing soldiers in contemporary Israeli literature: narratives of quest and deviation." The Australian Journal of Jewish Studies, vol. 26, 2012, p: 92.</w:t>
      </w:r>
    </w:p>
    <w:p w14:paraId="669E47BE" w14:textId="315A27FC"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24</w:t>
      </w:r>
      <w:r w:rsidRPr="002A0EE0">
        <w:rPr>
          <w:rFonts w:asciiTheme="majorBidi" w:hAnsiTheme="majorBidi" w:cstheme="majorBidi"/>
          <w:sz w:val="24"/>
          <w:szCs w:val="24"/>
          <w:lang w:bidi="ar-IQ"/>
        </w:rPr>
        <w:t xml:space="preserve"> ) Macherey, Pierre. A Theory of Literary Production. Translated by Geoffrey Wall, Routledge &amp; Kegan Paul, 1978, p: 87.</w:t>
      </w:r>
    </w:p>
    <w:p w14:paraId="61333F21" w14:textId="6ABCB175"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 xml:space="preserve">( </w:t>
      </w:r>
      <w:r w:rsidR="00B82249">
        <w:rPr>
          <w:rFonts w:asciiTheme="majorBidi" w:hAnsiTheme="majorBidi" w:cstheme="majorBidi"/>
          <w:sz w:val="24"/>
          <w:szCs w:val="24"/>
          <w:lang w:bidi="ar-IQ"/>
        </w:rPr>
        <w:t>25</w:t>
      </w:r>
      <w:r w:rsidRPr="002A0EE0">
        <w:rPr>
          <w:rFonts w:asciiTheme="majorBidi" w:hAnsiTheme="majorBidi" w:cstheme="majorBidi"/>
          <w:sz w:val="24"/>
          <w:szCs w:val="24"/>
          <w:lang w:bidi="ar-IQ"/>
        </w:rPr>
        <w:t xml:space="preserve">) </w:t>
      </w:r>
      <w:r w:rsidRPr="002A0EE0">
        <w:rPr>
          <w:rFonts w:asciiTheme="majorBidi" w:hAnsiTheme="majorBidi" w:cs="Times New Roman" w:hint="cs"/>
          <w:sz w:val="24"/>
          <w:szCs w:val="24"/>
          <w:rtl/>
          <w:lang w:bidi="he-IL"/>
        </w:rPr>
        <w:t>פרופ׳</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ירחמיאל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כהן</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ואחרים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נעדרים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תהלה</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דרמון</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מלכה</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הוצאת</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יד</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ושם</w:t>
      </w:r>
      <w:r w:rsidRPr="002A0EE0">
        <w:rPr>
          <w:rFonts w:asciiTheme="majorBidi" w:hAnsiTheme="majorBidi" w:cs="Times New Roman"/>
          <w:sz w:val="24"/>
          <w:szCs w:val="24"/>
          <w:rtl/>
          <w:lang w:bidi="he-IL"/>
        </w:rPr>
        <w:t>, 2025</w:t>
      </w:r>
      <w:r w:rsidRPr="002A0EE0">
        <w:rPr>
          <w:rFonts w:asciiTheme="majorBidi" w:hAnsiTheme="majorBidi" w:cstheme="majorBidi"/>
          <w:sz w:val="24"/>
          <w:szCs w:val="24"/>
          <w:lang w:bidi="ar-IQ"/>
        </w:rPr>
        <w:t>.</w:t>
      </w:r>
    </w:p>
    <w:p w14:paraId="0609BF8A" w14:textId="63F0B735"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26</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39</w:t>
      </w:r>
      <w:r w:rsidRPr="002A0EE0">
        <w:rPr>
          <w:rFonts w:asciiTheme="majorBidi" w:hAnsiTheme="majorBidi" w:cstheme="majorBidi"/>
          <w:sz w:val="24"/>
          <w:szCs w:val="24"/>
          <w:lang w:bidi="ar-IQ"/>
        </w:rPr>
        <w:t>.</w:t>
      </w:r>
    </w:p>
    <w:p w14:paraId="3F05CFD9" w14:textId="24B16710"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27</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40</w:t>
      </w:r>
      <w:r w:rsidRPr="002A0EE0">
        <w:rPr>
          <w:rFonts w:asciiTheme="majorBidi" w:hAnsiTheme="majorBidi" w:cstheme="majorBidi"/>
          <w:sz w:val="24"/>
          <w:szCs w:val="24"/>
          <w:lang w:bidi="ar-IQ"/>
        </w:rPr>
        <w:t>.</w:t>
      </w:r>
    </w:p>
    <w:p w14:paraId="5D0392F2" w14:textId="44CB9F7D"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28</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41</w:t>
      </w:r>
      <w:r w:rsidRPr="002A0EE0">
        <w:rPr>
          <w:rFonts w:asciiTheme="majorBidi" w:hAnsiTheme="majorBidi" w:cstheme="majorBidi"/>
          <w:sz w:val="24"/>
          <w:szCs w:val="24"/>
          <w:lang w:bidi="ar-IQ"/>
        </w:rPr>
        <w:t>.</w:t>
      </w:r>
    </w:p>
    <w:p w14:paraId="6D2922F5" w14:textId="52B24D9C"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 xml:space="preserve">( </w:t>
      </w:r>
      <w:r w:rsidR="00B82249">
        <w:rPr>
          <w:rFonts w:asciiTheme="majorBidi" w:hAnsiTheme="majorBidi" w:cstheme="majorBidi"/>
          <w:sz w:val="24"/>
          <w:szCs w:val="24"/>
          <w:lang w:bidi="ar-IQ"/>
        </w:rPr>
        <w:t>29</w:t>
      </w:r>
      <w:r w:rsidRPr="002A0EE0">
        <w:rPr>
          <w:rFonts w:asciiTheme="majorBidi" w:hAnsiTheme="majorBidi" w:cstheme="majorBidi"/>
          <w:sz w:val="24"/>
          <w:szCs w:val="24"/>
          <w:lang w:bidi="ar-IQ"/>
        </w:rPr>
        <w:t xml:space="preserve">)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40</w:t>
      </w:r>
      <w:r w:rsidRPr="002A0EE0">
        <w:rPr>
          <w:rFonts w:asciiTheme="majorBidi" w:hAnsiTheme="majorBidi" w:cstheme="majorBidi"/>
          <w:sz w:val="24"/>
          <w:szCs w:val="24"/>
          <w:lang w:bidi="ar-IQ"/>
        </w:rPr>
        <w:t>.</w:t>
      </w:r>
    </w:p>
    <w:p w14:paraId="5E2EF10F" w14:textId="1D58334A"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30</w:t>
      </w:r>
      <w:r w:rsidRPr="002A0EE0">
        <w:rPr>
          <w:rFonts w:asciiTheme="majorBidi" w:hAnsiTheme="majorBidi" w:cstheme="majorBidi"/>
          <w:sz w:val="24"/>
          <w:szCs w:val="24"/>
          <w:lang w:bidi="ar-IQ"/>
        </w:rPr>
        <w:t xml:space="preserve"> ) Jameson, Fredric. The Political Unconscious: Narrative as a Socially Symbolic Act. Cornell University Press, 1981, p: 42.</w:t>
      </w:r>
    </w:p>
    <w:p w14:paraId="49E2C78E" w14:textId="5BB45AA6"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31</w:t>
      </w:r>
      <w:r w:rsidRPr="002A0EE0">
        <w:rPr>
          <w:rFonts w:asciiTheme="majorBidi" w:hAnsiTheme="majorBidi" w:cstheme="majorBidi"/>
          <w:sz w:val="24"/>
          <w:szCs w:val="24"/>
          <w:lang w:bidi="ar-IQ"/>
        </w:rPr>
        <w:t xml:space="preserve"> ) Shait, Heddy. "The dilemma of missing soldiers in contemporary Israeli literature: narratives of quest and deviation." The Australian Journal of Jewish Studies, vol. 26, 2012, p: 87.</w:t>
      </w:r>
    </w:p>
    <w:p w14:paraId="1C0E7D23" w14:textId="3106780F" w:rsidR="002A0EE0" w:rsidRPr="002A0EE0" w:rsidRDefault="002A0EE0" w:rsidP="002A0EE0">
      <w:pPr>
        <w:pStyle w:val="a6"/>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32</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תנ</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ך</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שמואל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ב</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ב</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ל</w:t>
      </w:r>
      <w:r w:rsidRPr="002A0EE0">
        <w:rPr>
          <w:rFonts w:asciiTheme="majorBidi" w:hAnsiTheme="majorBidi" w:cstheme="majorBidi"/>
          <w:sz w:val="24"/>
          <w:szCs w:val="24"/>
          <w:lang w:bidi="ar-IQ"/>
        </w:rPr>
        <w:t>.</w:t>
      </w:r>
    </w:p>
    <w:p w14:paraId="72E3666D" w14:textId="6038A48C"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33</w:t>
      </w:r>
      <w:r w:rsidRPr="002A0EE0">
        <w:rPr>
          <w:rFonts w:asciiTheme="majorBidi" w:hAnsiTheme="majorBidi" w:cstheme="majorBidi"/>
          <w:sz w:val="24"/>
          <w:szCs w:val="24"/>
          <w:lang w:bidi="ar-IQ"/>
        </w:rPr>
        <w:t xml:space="preserve"> ) Shait, Heddy. "The dilemma of missing soldiers in contemporary Israeli literature: narratives of quest and deviation." The Australian Journal of Jewish Studies, vol. 26, 2012, p: 93.</w:t>
      </w:r>
    </w:p>
    <w:p w14:paraId="18DD6514" w14:textId="780D8B89"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34</w:t>
      </w:r>
      <w:r w:rsidRPr="002A0EE0">
        <w:rPr>
          <w:rFonts w:asciiTheme="majorBidi" w:hAnsiTheme="majorBidi" w:cstheme="majorBidi"/>
          <w:sz w:val="24"/>
          <w:szCs w:val="24"/>
          <w:lang w:bidi="ar-IQ"/>
        </w:rPr>
        <w:t xml:space="preserve"> ) Mendelson-Maoz, Adia. Borders, Territories, and Ethics: Hebrew Literature in the Shadow of the Intifada. Purdue University Press, 2018.</w:t>
      </w:r>
    </w:p>
    <w:p w14:paraId="007B5EF3" w14:textId="3AAF1090"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lastRenderedPageBreak/>
        <w:t>(</w:t>
      </w:r>
      <w:r w:rsidR="00B82249">
        <w:rPr>
          <w:rFonts w:asciiTheme="majorBidi" w:hAnsiTheme="majorBidi" w:cstheme="majorBidi"/>
          <w:sz w:val="24"/>
          <w:szCs w:val="24"/>
          <w:lang w:bidi="ar-IQ"/>
        </w:rPr>
        <w:t>35</w:t>
      </w:r>
      <w:r w:rsidRPr="002A0EE0">
        <w:rPr>
          <w:rFonts w:asciiTheme="majorBidi" w:hAnsiTheme="majorBidi" w:cstheme="majorBidi"/>
          <w:sz w:val="24"/>
          <w:szCs w:val="24"/>
          <w:lang w:bidi="ar-IQ"/>
        </w:rPr>
        <w:t xml:space="preserve"> ) Mendelson-Maoz, Adia. "Hurled into the Heart of Darkness: Moral Luck and the Hebrew Literature of the Intifada." Hebrew Studies, vol. 52, 2011, pp. 315-339.</w:t>
      </w:r>
    </w:p>
    <w:p w14:paraId="17F649FA" w14:textId="691B3FA6"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36</w:t>
      </w:r>
      <w:r w:rsidRPr="002A0EE0">
        <w:rPr>
          <w:rFonts w:asciiTheme="majorBidi" w:hAnsiTheme="majorBidi" w:cstheme="majorBidi"/>
          <w:sz w:val="24"/>
          <w:szCs w:val="24"/>
          <w:lang w:bidi="ar-IQ"/>
        </w:rPr>
        <w:t xml:space="preserve"> ) Mendelson-Maoz, A. (2018). Borders, territories, and ethics: Hebrew literature in the shadow of the Intifada. Purdue University Press. p:67.</w:t>
      </w:r>
    </w:p>
    <w:p w14:paraId="5E80AA0D" w14:textId="5565AD41"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37</w:t>
      </w:r>
      <w:r w:rsidRPr="002A0EE0">
        <w:rPr>
          <w:rFonts w:asciiTheme="majorBidi" w:hAnsiTheme="majorBidi" w:cstheme="majorBidi"/>
          <w:sz w:val="24"/>
          <w:szCs w:val="24"/>
          <w:lang w:bidi="ar-IQ"/>
        </w:rPr>
        <w:t xml:space="preserve"> ) Mendelson-Maoz, Adia. "Violence, Morality and Tragedy: The Israeli Soldier in the Hebrew Literature of the Intifada." Exploring Violence in Families and Societies, Inter-Disciplinary Press, 2011, p:99.</w:t>
      </w:r>
    </w:p>
    <w:p w14:paraId="09089CD7" w14:textId="38B46A4F"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38</w:t>
      </w:r>
      <w:r w:rsidRPr="002A0EE0">
        <w:rPr>
          <w:rFonts w:asciiTheme="majorBidi" w:hAnsiTheme="majorBidi" w:cstheme="majorBidi"/>
          <w:sz w:val="24"/>
          <w:szCs w:val="24"/>
          <w:lang w:bidi="ar-IQ"/>
        </w:rPr>
        <w:t xml:space="preserve"> ) Mendelson-Maoz, Adia. "Violence, Morality and Tragedy: The Israeli Soldier in the Hebrew Literature of the Intifada." Exploring Violence in Families and Societies, Inter-Disciplinary Press, 2011, p:99.</w:t>
      </w:r>
    </w:p>
    <w:p w14:paraId="2A759350" w14:textId="7C5F2E6A" w:rsidR="002A0EE0" w:rsidRPr="002A0EE0" w:rsidRDefault="002A0EE0" w:rsidP="002A0EE0">
      <w:pPr>
        <w:pStyle w:val="a6"/>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39</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34</w:t>
      </w:r>
      <w:r w:rsidRPr="002A0EE0">
        <w:rPr>
          <w:rFonts w:asciiTheme="majorBidi" w:hAnsiTheme="majorBidi" w:cstheme="majorBidi"/>
          <w:sz w:val="24"/>
          <w:szCs w:val="24"/>
          <w:lang w:bidi="ar-IQ"/>
        </w:rPr>
        <w:t>.</w:t>
      </w:r>
    </w:p>
    <w:p w14:paraId="7BA1282B" w14:textId="6A8490EA"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 xml:space="preserve">( </w:t>
      </w:r>
      <w:r w:rsidR="00B82249">
        <w:rPr>
          <w:rFonts w:asciiTheme="majorBidi" w:hAnsiTheme="majorBidi" w:cstheme="majorBidi"/>
          <w:sz w:val="24"/>
          <w:szCs w:val="24"/>
          <w:lang w:bidi="ar-IQ"/>
        </w:rPr>
        <w:t>40</w:t>
      </w:r>
      <w:r w:rsidRPr="002A0EE0">
        <w:rPr>
          <w:rFonts w:asciiTheme="majorBidi" w:hAnsiTheme="majorBidi" w:cstheme="majorBidi"/>
          <w:sz w:val="24"/>
          <w:szCs w:val="24"/>
          <w:lang w:bidi="ar-IQ"/>
        </w:rPr>
        <w:t xml:space="preserve">) Mendelson-Maoz, A. (2018). Borders, territories, and ethics: Hebrew literature in the shadow of the Intifada. Purdue University Press. p:45. </w:t>
      </w:r>
    </w:p>
    <w:p w14:paraId="708EFE17" w14:textId="7AB85D50" w:rsidR="002A0EE0" w:rsidRPr="002A0EE0" w:rsidRDefault="002A0EE0" w:rsidP="002A0EE0">
      <w:pPr>
        <w:pStyle w:val="a6"/>
        <w:rPr>
          <w:rFonts w:asciiTheme="majorBidi" w:hAnsiTheme="majorBidi" w:cstheme="majorBidi"/>
          <w:sz w:val="24"/>
          <w:szCs w:val="24"/>
          <w:rtl/>
          <w:lang w:bidi="ar-IQ"/>
        </w:rPr>
      </w:pPr>
      <w:r w:rsidRPr="002A0EE0">
        <w:rPr>
          <w:rFonts w:asciiTheme="majorBidi" w:hAnsiTheme="majorBidi" w:cstheme="majorBidi"/>
          <w:sz w:val="24"/>
          <w:szCs w:val="24"/>
          <w:lang w:bidi="ar-IQ"/>
        </w:rPr>
        <w:t xml:space="preserve">( </w:t>
      </w:r>
      <w:r w:rsidR="00B82249">
        <w:rPr>
          <w:rFonts w:asciiTheme="majorBidi" w:hAnsiTheme="majorBidi" w:cstheme="majorBidi"/>
          <w:sz w:val="24"/>
          <w:szCs w:val="24"/>
          <w:lang w:bidi="ar-IQ"/>
        </w:rPr>
        <w:t>41</w:t>
      </w:r>
      <w:r w:rsidRPr="002A0EE0">
        <w:rPr>
          <w:rFonts w:asciiTheme="majorBidi" w:hAnsiTheme="majorBidi" w:cstheme="majorBidi"/>
          <w:sz w:val="24"/>
          <w:szCs w:val="24"/>
          <w:lang w:bidi="ar-IQ"/>
        </w:rPr>
        <w:t xml:space="preserve">)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34</w:t>
      </w:r>
      <w:r w:rsidRPr="002A0EE0">
        <w:rPr>
          <w:rFonts w:asciiTheme="majorBidi" w:hAnsiTheme="majorBidi" w:cstheme="majorBidi"/>
          <w:sz w:val="24"/>
          <w:szCs w:val="24"/>
          <w:lang w:bidi="ar-IQ"/>
        </w:rPr>
        <w:t>.</w:t>
      </w:r>
    </w:p>
    <w:p w14:paraId="38B6BDF4" w14:textId="0DE0AD04"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42</w:t>
      </w:r>
      <w:r w:rsidRPr="002A0EE0">
        <w:rPr>
          <w:rFonts w:asciiTheme="majorBidi" w:hAnsiTheme="majorBidi" w:cstheme="majorBidi"/>
          <w:sz w:val="24"/>
          <w:szCs w:val="24"/>
          <w:lang w:bidi="ar-IQ"/>
        </w:rPr>
        <w:t xml:space="preserve"> ) Mendelson-Maoz, Adia. "Violence, Morality and Tragedy: The Israeli Soldier in the Hebrew Literature of the Intifada." Exploring Violence in Families and Societies, Inter-Disciplinary Press, 2011, p: 98.</w:t>
      </w:r>
    </w:p>
    <w:p w14:paraId="55A20E62" w14:textId="7F5A3C1B"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43</w:t>
      </w:r>
      <w:r w:rsidRPr="002A0EE0">
        <w:rPr>
          <w:rFonts w:asciiTheme="majorBidi" w:hAnsiTheme="majorBidi" w:cstheme="majorBidi"/>
          <w:sz w:val="24"/>
          <w:szCs w:val="24"/>
          <w:lang w:bidi="ar-IQ"/>
        </w:rPr>
        <w:t xml:space="preserve"> ) Nagel, T. (1979). Moral luck. In Mortal questions (pp. 24-38). Cambridge University Press. p: 26-28.</w:t>
      </w:r>
    </w:p>
    <w:p w14:paraId="450EB026" w14:textId="43C0C6DA"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44</w:t>
      </w:r>
      <w:r w:rsidRPr="002A0EE0">
        <w:rPr>
          <w:rFonts w:asciiTheme="majorBidi" w:hAnsiTheme="majorBidi" w:cstheme="majorBidi"/>
          <w:sz w:val="24"/>
          <w:szCs w:val="24"/>
          <w:lang w:bidi="ar-IQ"/>
        </w:rPr>
        <w:t xml:space="preserve"> ) Mendelson-Maoz, Adia. "Violence, Morality and Tragedy: The Israeli Soldier in the Hebrew Literature of the Intifada." Exploring Violence in Families and Societies, Inter-Disciplinary Press, 2011, p:316.</w:t>
      </w:r>
    </w:p>
    <w:p w14:paraId="5F8886E2" w14:textId="55997A87"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45</w:t>
      </w:r>
      <w:r w:rsidRPr="002A0EE0">
        <w:rPr>
          <w:rFonts w:asciiTheme="majorBidi" w:hAnsiTheme="majorBidi" w:cstheme="majorBidi"/>
          <w:sz w:val="24"/>
          <w:szCs w:val="24"/>
          <w:lang w:bidi="ar-IQ"/>
        </w:rPr>
        <w:t xml:space="preserve"> ) Mendelson-Maoz, A. (2018). Borders, territories, and ethics: Hebrew literature in the shadow of the Intifada. Purdue University Press. p:62. </w:t>
      </w:r>
    </w:p>
    <w:p w14:paraId="13AB6738" w14:textId="7BFE6501"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46</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ar-IQ"/>
        </w:rPr>
        <w:t>شايت،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حيدى</w:t>
      </w:r>
      <w:r w:rsidRPr="002A0EE0">
        <w:rPr>
          <w:rFonts w:asciiTheme="majorBidi" w:hAnsiTheme="majorBidi" w:cs="Times New Roman"/>
          <w:sz w:val="24"/>
          <w:szCs w:val="24"/>
          <w:rtl/>
          <w:lang w:bidi="ar-IQ"/>
        </w:rPr>
        <w:t xml:space="preserve">. (2012). </w:t>
      </w:r>
      <w:r w:rsidRPr="002A0EE0">
        <w:rPr>
          <w:rFonts w:asciiTheme="majorBidi" w:hAnsiTheme="majorBidi" w:cs="Times New Roman" w:hint="cs"/>
          <w:sz w:val="24"/>
          <w:szCs w:val="24"/>
          <w:rtl/>
          <w:lang w:bidi="ar-IQ"/>
        </w:rPr>
        <w:t>معضلة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الجنود</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المفقودين</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في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الأدب</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الإسرائيلي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المعاصر</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روايات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البحث</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والانحراف</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المجلة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الأسترالية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للدراسات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اليهودية،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المجلد</w:t>
      </w:r>
      <w:r w:rsidRPr="002A0EE0">
        <w:rPr>
          <w:rFonts w:asciiTheme="majorBidi" w:hAnsiTheme="majorBidi" w:cs="Times New Roman"/>
          <w:sz w:val="24"/>
          <w:szCs w:val="24"/>
          <w:rtl/>
          <w:lang w:bidi="ar-IQ"/>
        </w:rPr>
        <w:t xml:space="preserve"> 26</w:t>
      </w:r>
      <w:r w:rsidRPr="002A0EE0">
        <w:rPr>
          <w:rFonts w:asciiTheme="majorBidi" w:hAnsiTheme="majorBidi" w:cs="Times New Roman" w:hint="cs"/>
          <w:sz w:val="24"/>
          <w:szCs w:val="24"/>
          <w:rtl/>
          <w:lang w:bidi="ar-IQ"/>
        </w:rPr>
        <w:t>،</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ص</w:t>
      </w:r>
      <w:r w:rsidRPr="002A0EE0">
        <w:rPr>
          <w:rFonts w:asciiTheme="majorBidi" w:hAnsiTheme="majorBidi" w:cs="Times New Roman"/>
          <w:sz w:val="24"/>
          <w:szCs w:val="24"/>
          <w:rtl/>
          <w:lang w:bidi="ar-IQ"/>
        </w:rPr>
        <w:t xml:space="preserve"> 26</w:t>
      </w:r>
      <w:r w:rsidRPr="002A0EE0">
        <w:rPr>
          <w:rFonts w:asciiTheme="majorBidi" w:hAnsiTheme="majorBidi" w:cstheme="majorBidi"/>
          <w:sz w:val="24"/>
          <w:szCs w:val="24"/>
          <w:lang w:bidi="ar-IQ"/>
        </w:rPr>
        <w:t>.</w:t>
      </w:r>
    </w:p>
    <w:p w14:paraId="31A37E06" w14:textId="6975E101"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47</w:t>
      </w:r>
      <w:r w:rsidRPr="002A0EE0">
        <w:rPr>
          <w:rFonts w:asciiTheme="majorBidi" w:hAnsiTheme="majorBidi" w:cstheme="majorBidi"/>
          <w:sz w:val="24"/>
          <w:szCs w:val="24"/>
          <w:lang w:bidi="ar-IQ"/>
        </w:rPr>
        <w:t xml:space="preserve"> ) Mendelson-Maoz, A. (2018). Borders, territories, and ethics: Hebrew literature in the shadow of the Intifada. Purdue University Press. p:71. </w:t>
      </w:r>
    </w:p>
    <w:p w14:paraId="68268C3C" w14:textId="6A45D720"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48</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39</w:t>
      </w:r>
      <w:r w:rsidRPr="002A0EE0">
        <w:rPr>
          <w:rFonts w:asciiTheme="majorBidi" w:hAnsiTheme="majorBidi" w:cstheme="majorBidi"/>
          <w:sz w:val="24"/>
          <w:szCs w:val="24"/>
          <w:lang w:bidi="ar-IQ"/>
        </w:rPr>
        <w:t>.</w:t>
      </w:r>
    </w:p>
    <w:p w14:paraId="29DED4C2" w14:textId="145AD8D2"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49</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39</w:t>
      </w:r>
      <w:r w:rsidRPr="002A0EE0">
        <w:rPr>
          <w:rFonts w:asciiTheme="majorBidi" w:hAnsiTheme="majorBidi" w:cstheme="majorBidi"/>
          <w:sz w:val="24"/>
          <w:szCs w:val="24"/>
          <w:lang w:bidi="ar-IQ"/>
        </w:rPr>
        <w:t>.</w:t>
      </w:r>
    </w:p>
    <w:p w14:paraId="6494CCB9" w14:textId="7C3C9CDE"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50</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40</w:t>
      </w:r>
      <w:r w:rsidRPr="002A0EE0">
        <w:rPr>
          <w:rFonts w:asciiTheme="majorBidi" w:hAnsiTheme="majorBidi" w:cstheme="majorBidi"/>
          <w:sz w:val="24"/>
          <w:szCs w:val="24"/>
          <w:lang w:bidi="ar-IQ"/>
        </w:rPr>
        <w:t>.</w:t>
      </w:r>
    </w:p>
    <w:p w14:paraId="3B7EC287" w14:textId="3C5AF3C6"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51</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44</w:t>
      </w:r>
      <w:r w:rsidRPr="002A0EE0">
        <w:rPr>
          <w:rFonts w:asciiTheme="majorBidi" w:hAnsiTheme="majorBidi" w:cstheme="majorBidi"/>
          <w:sz w:val="24"/>
          <w:szCs w:val="24"/>
          <w:lang w:bidi="ar-IQ"/>
        </w:rPr>
        <w:t>.</w:t>
      </w:r>
    </w:p>
    <w:p w14:paraId="08F98F69" w14:textId="0846C7FA"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52</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ar-IQ"/>
        </w:rPr>
        <w:t>شايت،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حيدى</w:t>
      </w:r>
      <w:r w:rsidRPr="002A0EE0">
        <w:rPr>
          <w:rFonts w:asciiTheme="majorBidi" w:hAnsiTheme="majorBidi" w:cs="Times New Roman"/>
          <w:sz w:val="24"/>
          <w:szCs w:val="24"/>
          <w:rtl/>
          <w:lang w:bidi="ar-IQ"/>
        </w:rPr>
        <w:t xml:space="preserve">. (2012). </w:t>
      </w:r>
      <w:r w:rsidRPr="002A0EE0">
        <w:rPr>
          <w:rFonts w:asciiTheme="majorBidi" w:hAnsiTheme="majorBidi" w:cs="Times New Roman" w:hint="cs"/>
          <w:sz w:val="24"/>
          <w:szCs w:val="24"/>
          <w:rtl/>
          <w:lang w:bidi="ar-IQ"/>
        </w:rPr>
        <w:t>معضلة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الجنود</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المفقودين</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في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الأدب</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الإسرائيلي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المعاصر</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روايات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البحث</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والانحراف</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المجلة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الأسترالية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للدراسات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اليهودية،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المجلد</w:t>
      </w:r>
      <w:r w:rsidRPr="002A0EE0">
        <w:rPr>
          <w:rFonts w:asciiTheme="majorBidi" w:hAnsiTheme="majorBidi" w:cs="Times New Roman"/>
          <w:sz w:val="24"/>
          <w:szCs w:val="24"/>
          <w:rtl/>
          <w:lang w:bidi="ar-IQ"/>
        </w:rPr>
        <w:t xml:space="preserve"> 26</w:t>
      </w:r>
      <w:r w:rsidRPr="002A0EE0">
        <w:rPr>
          <w:rFonts w:asciiTheme="majorBidi" w:hAnsiTheme="majorBidi" w:cs="Times New Roman" w:hint="cs"/>
          <w:sz w:val="24"/>
          <w:szCs w:val="24"/>
          <w:rtl/>
          <w:lang w:bidi="ar-IQ"/>
        </w:rPr>
        <w:t>،</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ص</w:t>
      </w:r>
      <w:r w:rsidRPr="002A0EE0">
        <w:rPr>
          <w:rFonts w:asciiTheme="majorBidi" w:hAnsiTheme="majorBidi" w:cs="Times New Roman"/>
          <w:sz w:val="24"/>
          <w:szCs w:val="24"/>
          <w:rtl/>
          <w:lang w:bidi="ar-IQ"/>
        </w:rPr>
        <w:t xml:space="preserve"> 26</w:t>
      </w:r>
      <w:r w:rsidRPr="002A0EE0">
        <w:rPr>
          <w:rFonts w:asciiTheme="majorBidi" w:hAnsiTheme="majorBidi" w:cstheme="majorBidi"/>
          <w:sz w:val="24"/>
          <w:szCs w:val="24"/>
          <w:lang w:bidi="ar-IQ"/>
        </w:rPr>
        <w:t>.</w:t>
      </w:r>
    </w:p>
    <w:p w14:paraId="68FF64DE" w14:textId="1E727B84"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 xml:space="preserve">( </w:t>
      </w:r>
      <w:r w:rsidR="00B82249">
        <w:rPr>
          <w:rFonts w:asciiTheme="majorBidi" w:hAnsiTheme="majorBidi" w:cstheme="majorBidi"/>
          <w:sz w:val="24"/>
          <w:szCs w:val="24"/>
          <w:lang w:bidi="ar-IQ"/>
        </w:rPr>
        <w:t>53</w:t>
      </w:r>
      <w:r w:rsidRPr="002A0EE0">
        <w:rPr>
          <w:rFonts w:asciiTheme="majorBidi" w:hAnsiTheme="majorBidi" w:cstheme="majorBidi"/>
          <w:sz w:val="24"/>
          <w:szCs w:val="24"/>
          <w:lang w:bidi="ar-IQ"/>
        </w:rPr>
        <w:t xml:space="preserve">)  </w:t>
      </w:r>
      <w:r w:rsidRPr="002A0EE0">
        <w:rPr>
          <w:rFonts w:asciiTheme="majorBidi" w:hAnsiTheme="majorBidi" w:cs="Times New Roman" w:hint="cs"/>
          <w:sz w:val="24"/>
          <w:szCs w:val="24"/>
          <w:rtl/>
          <w:lang w:bidi="ar-IQ"/>
        </w:rPr>
        <w:t>شايت،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حيدى</w:t>
      </w:r>
      <w:r w:rsidRPr="002A0EE0">
        <w:rPr>
          <w:rFonts w:asciiTheme="majorBidi" w:hAnsiTheme="majorBidi" w:cs="Times New Roman"/>
          <w:sz w:val="24"/>
          <w:szCs w:val="24"/>
          <w:rtl/>
          <w:lang w:bidi="ar-IQ"/>
        </w:rPr>
        <w:t xml:space="preserve">. (2012). </w:t>
      </w:r>
      <w:r w:rsidRPr="002A0EE0">
        <w:rPr>
          <w:rFonts w:asciiTheme="majorBidi" w:hAnsiTheme="majorBidi" w:cs="Times New Roman" w:hint="cs"/>
          <w:sz w:val="24"/>
          <w:szCs w:val="24"/>
          <w:rtl/>
          <w:lang w:bidi="ar-IQ"/>
        </w:rPr>
        <w:t>معضلة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الجنود</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المفقودين</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في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الأدب</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الإسرائيلي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المعاصر</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روايات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البحث</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والانحراف</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المجلة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الأسترالية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للدراسات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اليهودية،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المجلد</w:t>
      </w:r>
      <w:r w:rsidRPr="002A0EE0">
        <w:rPr>
          <w:rFonts w:asciiTheme="majorBidi" w:hAnsiTheme="majorBidi" w:cs="Times New Roman"/>
          <w:sz w:val="24"/>
          <w:szCs w:val="24"/>
          <w:rtl/>
          <w:lang w:bidi="ar-IQ"/>
        </w:rPr>
        <w:t xml:space="preserve"> 26</w:t>
      </w:r>
      <w:r w:rsidRPr="002A0EE0">
        <w:rPr>
          <w:rFonts w:asciiTheme="majorBidi" w:hAnsiTheme="majorBidi" w:cs="Times New Roman" w:hint="cs"/>
          <w:sz w:val="24"/>
          <w:szCs w:val="24"/>
          <w:rtl/>
          <w:lang w:bidi="ar-IQ"/>
        </w:rPr>
        <w:t>،</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ص</w:t>
      </w:r>
      <w:r w:rsidRPr="002A0EE0">
        <w:rPr>
          <w:rFonts w:asciiTheme="majorBidi" w:hAnsiTheme="majorBidi" w:cs="Times New Roman"/>
          <w:sz w:val="24"/>
          <w:szCs w:val="24"/>
          <w:rtl/>
          <w:lang w:bidi="ar-IQ"/>
        </w:rPr>
        <w:t xml:space="preserve"> 31</w:t>
      </w:r>
      <w:r w:rsidRPr="002A0EE0">
        <w:rPr>
          <w:rFonts w:asciiTheme="majorBidi" w:hAnsiTheme="majorBidi" w:cstheme="majorBidi"/>
          <w:sz w:val="24"/>
          <w:szCs w:val="24"/>
          <w:lang w:bidi="ar-IQ"/>
        </w:rPr>
        <w:t>.</w:t>
      </w:r>
    </w:p>
    <w:p w14:paraId="28CD7B8E" w14:textId="28F94B8D"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54</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38</w:t>
      </w:r>
      <w:r w:rsidRPr="002A0EE0">
        <w:rPr>
          <w:rFonts w:asciiTheme="majorBidi" w:hAnsiTheme="majorBidi" w:cstheme="majorBidi"/>
          <w:sz w:val="24"/>
          <w:szCs w:val="24"/>
          <w:lang w:bidi="ar-IQ"/>
        </w:rPr>
        <w:t>.</w:t>
      </w:r>
    </w:p>
    <w:p w14:paraId="6E09C76E" w14:textId="7ED41678"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55</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37</w:t>
      </w:r>
      <w:r w:rsidRPr="002A0EE0">
        <w:rPr>
          <w:rFonts w:asciiTheme="majorBidi" w:hAnsiTheme="majorBidi" w:cstheme="majorBidi"/>
          <w:sz w:val="24"/>
          <w:szCs w:val="24"/>
          <w:lang w:bidi="ar-IQ"/>
        </w:rPr>
        <w:t>.</w:t>
      </w:r>
    </w:p>
    <w:p w14:paraId="0834C6CB" w14:textId="296EE6EA"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56</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37</w:t>
      </w:r>
      <w:r w:rsidRPr="002A0EE0">
        <w:rPr>
          <w:rFonts w:asciiTheme="majorBidi" w:hAnsiTheme="majorBidi" w:cstheme="majorBidi"/>
          <w:sz w:val="24"/>
          <w:szCs w:val="24"/>
          <w:lang w:bidi="ar-IQ"/>
        </w:rPr>
        <w:t>.</w:t>
      </w:r>
    </w:p>
    <w:p w14:paraId="6BBB08B9" w14:textId="1E9D7973"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57</w:t>
      </w:r>
      <w:r w:rsidRPr="002A0EE0">
        <w:rPr>
          <w:rFonts w:asciiTheme="majorBidi" w:hAnsiTheme="majorBidi" w:cstheme="majorBidi"/>
          <w:sz w:val="24"/>
          <w:szCs w:val="24"/>
          <w:lang w:bidi="ar-IQ"/>
        </w:rPr>
        <w:t xml:space="preserve"> ) Mendelson-Maoz, A. (2018). Borders, territories, and ethics: Hebrew literature in the shadow of the Intifada. Purdue University Press. p:112. </w:t>
      </w:r>
    </w:p>
    <w:p w14:paraId="014A9D25" w14:textId="1A48ED79"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58</w:t>
      </w:r>
      <w:r w:rsidRPr="002A0EE0">
        <w:rPr>
          <w:rFonts w:asciiTheme="majorBidi" w:hAnsiTheme="majorBidi" w:cstheme="majorBidi"/>
          <w:sz w:val="24"/>
          <w:szCs w:val="24"/>
          <w:lang w:bidi="ar-IQ"/>
        </w:rPr>
        <w:t xml:space="preserve"> ) Mendelson-Maoz, A. (2018). Borders, territories, and ethics: Hebrew literature in the shadow of the Intifada. Purdue University Press. p:134. </w:t>
      </w:r>
    </w:p>
    <w:p w14:paraId="267B3257" w14:textId="7ACAF360"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lastRenderedPageBreak/>
        <w:t>(</w:t>
      </w:r>
      <w:r w:rsidR="00B82249">
        <w:rPr>
          <w:rFonts w:asciiTheme="majorBidi" w:hAnsiTheme="majorBidi" w:cstheme="majorBidi"/>
          <w:sz w:val="24"/>
          <w:szCs w:val="24"/>
          <w:lang w:bidi="ar-IQ"/>
        </w:rPr>
        <w:t>59</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ar-IQ"/>
        </w:rPr>
        <w:t>شايت،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حيدى</w:t>
      </w:r>
      <w:r w:rsidRPr="002A0EE0">
        <w:rPr>
          <w:rFonts w:asciiTheme="majorBidi" w:hAnsiTheme="majorBidi" w:cs="Times New Roman"/>
          <w:sz w:val="24"/>
          <w:szCs w:val="24"/>
          <w:rtl/>
          <w:lang w:bidi="ar-IQ"/>
        </w:rPr>
        <w:t xml:space="preserve">. (2012). </w:t>
      </w:r>
      <w:r w:rsidRPr="002A0EE0">
        <w:rPr>
          <w:rFonts w:asciiTheme="majorBidi" w:hAnsiTheme="majorBidi" w:cs="Times New Roman" w:hint="cs"/>
          <w:sz w:val="24"/>
          <w:szCs w:val="24"/>
          <w:rtl/>
          <w:lang w:bidi="ar-IQ"/>
        </w:rPr>
        <w:t>معضلة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الجنود</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المفقودين</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في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الأدب</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الإسرائيلي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المعاصر</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روايات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البحث</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والانحراف</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المجلة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الأسترالية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للدراسات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اليهودية،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المجلد</w:t>
      </w:r>
      <w:r w:rsidRPr="002A0EE0">
        <w:rPr>
          <w:rFonts w:asciiTheme="majorBidi" w:hAnsiTheme="majorBidi" w:cs="Times New Roman"/>
          <w:sz w:val="24"/>
          <w:szCs w:val="24"/>
          <w:rtl/>
          <w:lang w:bidi="ar-IQ"/>
        </w:rPr>
        <w:t xml:space="preserve"> 26</w:t>
      </w:r>
      <w:r w:rsidRPr="002A0EE0">
        <w:rPr>
          <w:rFonts w:asciiTheme="majorBidi" w:hAnsiTheme="majorBidi" w:cs="Times New Roman" w:hint="cs"/>
          <w:sz w:val="24"/>
          <w:szCs w:val="24"/>
          <w:rtl/>
          <w:lang w:bidi="ar-IQ"/>
        </w:rPr>
        <w:t>،</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ص</w:t>
      </w:r>
      <w:r w:rsidRPr="002A0EE0">
        <w:rPr>
          <w:rFonts w:asciiTheme="majorBidi" w:hAnsiTheme="majorBidi" w:cs="Times New Roman"/>
          <w:sz w:val="24"/>
          <w:szCs w:val="24"/>
          <w:rtl/>
          <w:lang w:bidi="ar-IQ"/>
        </w:rPr>
        <w:t xml:space="preserve"> 26</w:t>
      </w:r>
      <w:r w:rsidRPr="002A0EE0">
        <w:rPr>
          <w:rFonts w:asciiTheme="majorBidi" w:hAnsiTheme="majorBidi" w:cstheme="majorBidi"/>
          <w:sz w:val="24"/>
          <w:szCs w:val="24"/>
          <w:lang w:bidi="ar-IQ"/>
        </w:rPr>
        <w:t>.</w:t>
      </w:r>
    </w:p>
    <w:p w14:paraId="5F46F94A" w14:textId="56E7A176"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60</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34</w:t>
      </w:r>
      <w:r w:rsidRPr="002A0EE0">
        <w:rPr>
          <w:rFonts w:asciiTheme="majorBidi" w:hAnsiTheme="majorBidi" w:cstheme="majorBidi"/>
          <w:sz w:val="24"/>
          <w:szCs w:val="24"/>
          <w:lang w:bidi="ar-IQ"/>
        </w:rPr>
        <w:t>.</w:t>
      </w:r>
    </w:p>
    <w:p w14:paraId="40D66E60" w14:textId="0F2A01D0"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61</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34</w:t>
      </w:r>
      <w:r w:rsidRPr="002A0EE0">
        <w:rPr>
          <w:rFonts w:asciiTheme="majorBidi" w:hAnsiTheme="majorBidi" w:cstheme="majorBidi"/>
          <w:sz w:val="24"/>
          <w:szCs w:val="24"/>
          <w:lang w:bidi="ar-IQ"/>
        </w:rPr>
        <w:t>.</w:t>
      </w:r>
    </w:p>
    <w:p w14:paraId="7D553CFA" w14:textId="59944926"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62</w:t>
      </w:r>
      <w:r w:rsidRPr="002A0EE0">
        <w:rPr>
          <w:rFonts w:asciiTheme="majorBidi" w:hAnsiTheme="majorBidi" w:cstheme="majorBidi"/>
          <w:sz w:val="24"/>
          <w:szCs w:val="24"/>
          <w:lang w:bidi="ar-IQ"/>
        </w:rPr>
        <w:t xml:space="preserve"> ) Mendelson-Maoz, Adia. "Violence, Morality and Tragedy: The Israeli Soldier in the Hebrew Literature of the Intifada." Exploring Violence in Families and Societies, Inter-Disciplinary Press, 2011, p: 317.</w:t>
      </w:r>
    </w:p>
    <w:p w14:paraId="4A11366F" w14:textId="28C726AD"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 xml:space="preserve">( </w:t>
      </w:r>
      <w:r w:rsidR="00B82249">
        <w:rPr>
          <w:rFonts w:asciiTheme="majorBidi" w:hAnsiTheme="majorBidi" w:cstheme="majorBidi"/>
          <w:sz w:val="24"/>
          <w:szCs w:val="24"/>
          <w:lang w:bidi="ar-IQ"/>
        </w:rPr>
        <w:t>63</w:t>
      </w:r>
      <w:r w:rsidRPr="002A0EE0">
        <w:rPr>
          <w:rFonts w:asciiTheme="majorBidi" w:hAnsiTheme="majorBidi" w:cstheme="majorBidi"/>
          <w:sz w:val="24"/>
          <w:szCs w:val="24"/>
          <w:lang w:bidi="ar-IQ"/>
        </w:rPr>
        <w:t>) Mendelson-Maoz, A. (2011). Hurled into the heart of darkness: Moral luck and the Hebrew literature of the Intifada. Hebrew Studies, “52”, p: 315-316.</w:t>
      </w:r>
    </w:p>
    <w:p w14:paraId="116224A8" w14:textId="7B237597"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64</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ברקאי</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סיגל</w:t>
      </w:r>
      <w:r w:rsidRPr="002A0EE0">
        <w:rPr>
          <w:rFonts w:asciiTheme="majorBidi" w:hAnsiTheme="majorBidi" w:cs="Times New Roman"/>
          <w:sz w:val="24"/>
          <w:szCs w:val="24"/>
          <w:rtl/>
          <w:lang w:bidi="he-IL"/>
        </w:rPr>
        <w:t xml:space="preserve">. (2019). </w:t>
      </w:r>
      <w:r w:rsidRPr="002A0EE0">
        <w:rPr>
          <w:rFonts w:asciiTheme="majorBidi" w:hAnsiTheme="majorBidi" w:cs="Times New Roman" w:hint="cs"/>
          <w:sz w:val="24"/>
          <w:szCs w:val="24"/>
          <w:rtl/>
          <w:lang w:bidi="he-IL"/>
        </w:rPr>
        <w:t>במה</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לגברויות</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דמויות</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חיילים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ישראלים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בתיאטרון</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רעננה</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האוניברסיטה</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הפתוחה</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עמ</w:t>
      </w:r>
      <w:r w:rsidRPr="002A0EE0">
        <w:rPr>
          <w:rFonts w:asciiTheme="majorBidi" w:hAnsiTheme="majorBidi" w:cstheme="majorBidi"/>
          <w:sz w:val="24"/>
          <w:szCs w:val="24"/>
          <w:lang w:bidi="ar-IQ"/>
        </w:rPr>
        <w:t>'.</w:t>
      </w:r>
    </w:p>
    <w:p w14:paraId="7D24FCD2" w14:textId="1A630B48"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 xml:space="preserve">( </w:t>
      </w:r>
      <w:r w:rsidR="00B82249">
        <w:rPr>
          <w:rFonts w:asciiTheme="majorBidi" w:hAnsiTheme="majorBidi" w:cstheme="majorBidi"/>
          <w:sz w:val="24"/>
          <w:szCs w:val="24"/>
          <w:lang w:bidi="ar-IQ"/>
        </w:rPr>
        <w:t>65</w:t>
      </w:r>
      <w:r w:rsidRPr="002A0EE0">
        <w:rPr>
          <w:rFonts w:asciiTheme="majorBidi" w:hAnsiTheme="majorBidi" w:cstheme="majorBidi"/>
          <w:sz w:val="24"/>
          <w:szCs w:val="24"/>
          <w:lang w:bidi="ar-IQ"/>
        </w:rPr>
        <w:t xml:space="preserve">)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38</w:t>
      </w:r>
      <w:r w:rsidRPr="002A0EE0">
        <w:rPr>
          <w:rFonts w:asciiTheme="majorBidi" w:hAnsiTheme="majorBidi" w:cstheme="majorBidi"/>
          <w:sz w:val="24"/>
          <w:szCs w:val="24"/>
          <w:lang w:bidi="ar-IQ"/>
        </w:rPr>
        <w:t>.</w:t>
      </w:r>
    </w:p>
    <w:p w14:paraId="0F04028C" w14:textId="64B49282"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67</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38</w:t>
      </w:r>
      <w:r w:rsidRPr="002A0EE0">
        <w:rPr>
          <w:rFonts w:asciiTheme="majorBidi" w:hAnsiTheme="majorBidi" w:cstheme="majorBidi"/>
          <w:sz w:val="24"/>
          <w:szCs w:val="24"/>
          <w:lang w:bidi="ar-IQ"/>
        </w:rPr>
        <w:t>.</w:t>
      </w:r>
    </w:p>
    <w:p w14:paraId="27E26AE2" w14:textId="7E657EC2"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68</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ar-IQ"/>
        </w:rPr>
        <w:t>شايت،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حيدى</w:t>
      </w:r>
      <w:r w:rsidRPr="002A0EE0">
        <w:rPr>
          <w:rFonts w:asciiTheme="majorBidi" w:hAnsiTheme="majorBidi" w:cs="Times New Roman"/>
          <w:sz w:val="24"/>
          <w:szCs w:val="24"/>
          <w:rtl/>
          <w:lang w:bidi="ar-IQ"/>
        </w:rPr>
        <w:t xml:space="preserve">. (2012). </w:t>
      </w:r>
      <w:r w:rsidRPr="002A0EE0">
        <w:rPr>
          <w:rFonts w:asciiTheme="majorBidi" w:hAnsiTheme="majorBidi" w:cs="Times New Roman" w:hint="cs"/>
          <w:sz w:val="24"/>
          <w:szCs w:val="24"/>
          <w:rtl/>
          <w:lang w:bidi="ar-IQ"/>
        </w:rPr>
        <w:t>معضلة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الجنود</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المفقودين</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في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الأدب</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الإسرائيلي</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المعاصر</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روايات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البحث</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والانحراف</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المجلة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الأسترالية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للدراسات</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اليهودية،</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المجلد</w:t>
      </w:r>
      <w:r w:rsidRPr="002A0EE0">
        <w:rPr>
          <w:rFonts w:asciiTheme="majorBidi" w:hAnsiTheme="majorBidi" w:cs="Times New Roman"/>
          <w:sz w:val="24"/>
          <w:szCs w:val="24"/>
          <w:rtl/>
          <w:lang w:bidi="ar-IQ"/>
        </w:rPr>
        <w:t xml:space="preserve"> 26</w:t>
      </w:r>
      <w:r w:rsidRPr="002A0EE0">
        <w:rPr>
          <w:rFonts w:asciiTheme="majorBidi" w:hAnsiTheme="majorBidi" w:cs="Times New Roman" w:hint="cs"/>
          <w:sz w:val="24"/>
          <w:szCs w:val="24"/>
          <w:rtl/>
          <w:lang w:bidi="ar-IQ"/>
        </w:rPr>
        <w:t>،</w:t>
      </w:r>
      <w:r w:rsidRPr="002A0EE0">
        <w:rPr>
          <w:rFonts w:asciiTheme="majorBidi" w:hAnsiTheme="majorBidi" w:cs="Times New Roman"/>
          <w:sz w:val="24"/>
          <w:szCs w:val="24"/>
          <w:rtl/>
          <w:lang w:bidi="ar-IQ"/>
        </w:rPr>
        <w:t xml:space="preserve"> </w:t>
      </w:r>
      <w:r w:rsidRPr="002A0EE0">
        <w:rPr>
          <w:rFonts w:asciiTheme="majorBidi" w:hAnsiTheme="majorBidi" w:cs="Times New Roman" w:hint="cs"/>
          <w:sz w:val="24"/>
          <w:szCs w:val="24"/>
          <w:rtl/>
          <w:lang w:bidi="ar-IQ"/>
        </w:rPr>
        <w:t>ص</w:t>
      </w:r>
      <w:r w:rsidRPr="002A0EE0">
        <w:rPr>
          <w:rFonts w:asciiTheme="majorBidi" w:hAnsiTheme="majorBidi" w:cs="Times New Roman"/>
          <w:sz w:val="24"/>
          <w:szCs w:val="24"/>
          <w:rtl/>
          <w:lang w:bidi="ar-IQ"/>
        </w:rPr>
        <w:t xml:space="preserve"> 26</w:t>
      </w:r>
      <w:r w:rsidRPr="002A0EE0">
        <w:rPr>
          <w:rFonts w:asciiTheme="majorBidi" w:hAnsiTheme="majorBidi" w:cstheme="majorBidi"/>
          <w:sz w:val="24"/>
          <w:szCs w:val="24"/>
          <w:lang w:bidi="ar-IQ"/>
        </w:rPr>
        <w:t>.</w:t>
      </w:r>
    </w:p>
    <w:p w14:paraId="342B3885" w14:textId="16BCCA25"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70</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39</w:t>
      </w:r>
      <w:r w:rsidRPr="002A0EE0">
        <w:rPr>
          <w:rFonts w:asciiTheme="majorBidi" w:hAnsiTheme="majorBidi" w:cstheme="majorBidi"/>
          <w:sz w:val="24"/>
          <w:szCs w:val="24"/>
          <w:lang w:bidi="ar-IQ"/>
        </w:rPr>
        <w:t>.</w:t>
      </w:r>
    </w:p>
    <w:p w14:paraId="792406AD" w14:textId="63A3B60C"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71</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39</w:t>
      </w:r>
      <w:r w:rsidRPr="002A0EE0">
        <w:rPr>
          <w:rFonts w:asciiTheme="majorBidi" w:hAnsiTheme="majorBidi" w:cstheme="majorBidi"/>
          <w:sz w:val="24"/>
          <w:szCs w:val="24"/>
          <w:lang w:bidi="ar-IQ"/>
        </w:rPr>
        <w:t>.</w:t>
      </w:r>
    </w:p>
    <w:p w14:paraId="76211C2C" w14:textId="1A8BC493"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72</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39</w:t>
      </w:r>
      <w:r w:rsidRPr="002A0EE0">
        <w:rPr>
          <w:rFonts w:asciiTheme="majorBidi" w:hAnsiTheme="majorBidi" w:cstheme="majorBidi"/>
          <w:sz w:val="24"/>
          <w:szCs w:val="24"/>
          <w:lang w:bidi="ar-IQ"/>
        </w:rPr>
        <w:t>.</w:t>
      </w:r>
    </w:p>
    <w:p w14:paraId="6F42B19A" w14:textId="7F01098D"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73</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הרבלין</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יהונתן</w:t>
      </w:r>
      <w:r w:rsidRPr="002A0EE0">
        <w:rPr>
          <w:rFonts w:asciiTheme="majorBidi" w:hAnsiTheme="majorBidi" w:cs="Times New Roman"/>
          <w:sz w:val="24"/>
          <w:szCs w:val="24"/>
          <w:rtl/>
          <w:lang w:bidi="he-IL"/>
        </w:rPr>
        <w:t xml:space="preserve">. (2023). </w:t>
      </w:r>
      <w:r w:rsidRPr="002A0EE0">
        <w:rPr>
          <w:rFonts w:asciiTheme="majorBidi" w:hAnsiTheme="majorBidi" w:cs="Times New Roman" w:hint="cs"/>
          <w:sz w:val="24"/>
          <w:szCs w:val="24"/>
          <w:rtl/>
          <w:lang w:bidi="he-IL"/>
        </w:rPr>
        <w:t>גם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אני</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הייתי</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כנרת</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זמורה</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ביתן</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10</w:t>
      </w:r>
      <w:r w:rsidRPr="002A0EE0">
        <w:rPr>
          <w:rFonts w:asciiTheme="majorBidi" w:hAnsiTheme="majorBidi" w:cstheme="majorBidi"/>
          <w:sz w:val="24"/>
          <w:szCs w:val="24"/>
          <w:lang w:bidi="ar-IQ"/>
        </w:rPr>
        <w:t>.</w:t>
      </w:r>
    </w:p>
    <w:p w14:paraId="6CA45741" w14:textId="65D8515E"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74</w:t>
      </w:r>
      <w:r w:rsidRPr="002A0EE0">
        <w:rPr>
          <w:rFonts w:asciiTheme="majorBidi" w:hAnsiTheme="majorBidi" w:cstheme="majorBidi"/>
          <w:sz w:val="24"/>
          <w:szCs w:val="24"/>
          <w:lang w:bidi="ar-IQ"/>
        </w:rPr>
        <w:t xml:space="preserve"> ) Mendelson-Maoz, A. (2011). Hurled into the heart of darkness: Moral luck and the Hebrew literature of the Intifada. Hebrew Studies, “52”, p: 318.</w:t>
      </w:r>
    </w:p>
    <w:p w14:paraId="77B4519F" w14:textId="36B679C3" w:rsidR="002A0EE0" w:rsidRPr="002A0EE0" w:rsidRDefault="002A0EE0" w:rsidP="002A0EE0">
      <w:pPr>
        <w:pStyle w:val="a6"/>
        <w:rPr>
          <w:rFonts w:asciiTheme="majorBidi" w:hAnsiTheme="majorBidi" w:cstheme="majorBidi"/>
          <w:sz w:val="24"/>
          <w:szCs w:val="24"/>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75</w:t>
      </w:r>
      <w:r w:rsidRPr="002A0EE0">
        <w:rPr>
          <w:rFonts w:asciiTheme="majorBidi" w:hAnsiTheme="majorBidi" w:cstheme="majorBidi"/>
          <w:sz w:val="24"/>
          <w:szCs w:val="24"/>
          <w:lang w:bidi="ar-IQ"/>
        </w:rPr>
        <w:t xml:space="preserve"> ) Mendelson-Maoz, A. (2011). Hurled into the heart of darkness: Moral luck and the Hebrew literature of the Intifada. Hebrew Studies, “52”, p: 315.</w:t>
      </w:r>
    </w:p>
    <w:p w14:paraId="5BAC2816" w14:textId="1169F5ED"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76</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12</w:t>
      </w:r>
      <w:r w:rsidRPr="002A0EE0">
        <w:rPr>
          <w:rFonts w:asciiTheme="majorBidi" w:hAnsiTheme="majorBidi" w:cstheme="majorBidi"/>
          <w:sz w:val="24"/>
          <w:szCs w:val="24"/>
          <w:lang w:bidi="ar-IQ"/>
        </w:rPr>
        <w:t>.</w:t>
      </w:r>
    </w:p>
    <w:p w14:paraId="768AC069" w14:textId="290C2E89" w:rsidR="002A0EE0" w:rsidRPr="002A0EE0" w:rsidRDefault="002A0EE0" w:rsidP="004C1FF1">
      <w:pPr>
        <w:pStyle w:val="a6"/>
        <w:bidi/>
        <w:rPr>
          <w:rFonts w:asciiTheme="majorBidi" w:hAnsiTheme="majorBidi" w:cstheme="majorBidi"/>
          <w:sz w:val="24"/>
          <w:szCs w:val="24"/>
          <w:rtl/>
          <w:lang w:bidi="ar-IQ"/>
        </w:rPr>
      </w:pPr>
      <w:r w:rsidRPr="002A0EE0">
        <w:rPr>
          <w:rFonts w:asciiTheme="majorBidi" w:hAnsiTheme="majorBidi" w:cstheme="majorBidi"/>
          <w:sz w:val="24"/>
          <w:szCs w:val="24"/>
          <w:lang w:bidi="ar-IQ"/>
        </w:rPr>
        <w:t>(</w:t>
      </w:r>
      <w:r w:rsidR="00B82249">
        <w:rPr>
          <w:rFonts w:asciiTheme="majorBidi" w:hAnsiTheme="majorBidi" w:cstheme="majorBidi"/>
          <w:sz w:val="24"/>
          <w:szCs w:val="24"/>
          <w:lang w:bidi="ar-IQ"/>
        </w:rPr>
        <w:t>77</w:t>
      </w:r>
      <w:r w:rsidRPr="002A0EE0">
        <w:rPr>
          <w:rFonts w:asciiTheme="majorBidi" w:hAnsiTheme="majorBidi" w:cstheme="majorBidi"/>
          <w:sz w:val="24"/>
          <w:szCs w:val="24"/>
          <w:lang w:bidi="ar-IQ"/>
        </w:rPr>
        <w:t xml:space="preserve"> ) </w:t>
      </w:r>
      <w:r w:rsidRPr="002A0EE0">
        <w:rPr>
          <w:rFonts w:asciiTheme="majorBidi" w:hAnsiTheme="majorBidi" w:cs="Times New Roman" w:hint="cs"/>
          <w:sz w:val="24"/>
          <w:szCs w:val="24"/>
          <w:rtl/>
          <w:lang w:bidi="he-IL"/>
        </w:rPr>
        <w:t>מנדל</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נ</w:t>
      </w:r>
      <w:r w:rsidRPr="002A0EE0">
        <w:rPr>
          <w:rFonts w:asciiTheme="majorBidi" w:hAnsiTheme="majorBidi" w:cs="Times New Roman"/>
          <w:sz w:val="24"/>
          <w:szCs w:val="24"/>
          <w:rtl/>
          <w:lang w:bidi="he-IL"/>
        </w:rPr>
        <w:t xml:space="preserve">' (2014). </w:t>
      </w:r>
      <w:r w:rsidRPr="002A0EE0">
        <w:rPr>
          <w:rFonts w:asciiTheme="majorBidi" w:hAnsiTheme="majorBidi" w:cs="Times New Roman" w:hint="cs"/>
          <w:sz w:val="24"/>
          <w:szCs w:val="24"/>
          <w:rtl/>
          <w:lang w:bidi="he-IL"/>
        </w:rPr>
        <w:t>סיפורים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קצרים</w:t>
      </w:r>
      <w:r w:rsidRPr="002A0EE0">
        <w:rPr>
          <w:rFonts w:asciiTheme="majorBidi" w:hAnsiTheme="majorBidi" w:cs="Times New Roman"/>
          <w:sz w:val="24"/>
          <w:szCs w:val="24"/>
          <w:rtl/>
          <w:lang w:bidi="he-IL"/>
        </w:rPr>
        <w:t xml:space="preserve"> </w:t>
      </w:r>
      <w:r w:rsidRPr="002A0EE0">
        <w:rPr>
          <w:rFonts w:asciiTheme="majorBidi" w:hAnsiTheme="majorBidi" w:cs="Times New Roman" w:hint="cs"/>
          <w:sz w:val="24"/>
          <w:szCs w:val="24"/>
          <w:rtl/>
          <w:lang w:bidi="he-IL"/>
        </w:rPr>
        <w:t>שלי</w:t>
      </w:r>
      <w:r w:rsidRPr="002A0EE0">
        <w:rPr>
          <w:rFonts w:asciiTheme="majorBidi" w:hAnsiTheme="majorBidi" w:cs="Times New Roman"/>
          <w:sz w:val="24"/>
          <w:szCs w:val="24"/>
          <w:rtl/>
          <w:lang w:bidi="he-IL"/>
        </w:rPr>
        <w:t>.</w:t>
      </w:r>
      <w:r w:rsidRPr="002A0EE0">
        <w:rPr>
          <w:rFonts w:asciiTheme="majorBidi" w:hAnsiTheme="majorBidi" w:cs="Times New Roman" w:hint="cs"/>
          <w:sz w:val="24"/>
          <w:szCs w:val="24"/>
          <w:rtl/>
          <w:lang w:bidi="he-IL"/>
        </w:rPr>
        <w:t>עמ</w:t>
      </w:r>
      <w:r w:rsidRPr="002A0EE0">
        <w:rPr>
          <w:rFonts w:asciiTheme="majorBidi" w:hAnsiTheme="majorBidi" w:cs="Times New Roman"/>
          <w:sz w:val="24"/>
          <w:szCs w:val="24"/>
          <w:rtl/>
          <w:lang w:bidi="he-IL"/>
        </w:rPr>
        <w:t>' 44</w:t>
      </w:r>
      <w:r w:rsidRPr="002A0EE0">
        <w:rPr>
          <w:rFonts w:asciiTheme="majorBidi" w:hAnsiTheme="majorBidi" w:cstheme="majorBidi"/>
          <w:sz w:val="24"/>
          <w:szCs w:val="24"/>
          <w:lang w:bidi="ar-IQ"/>
        </w:rPr>
        <w:t>.</w:t>
      </w:r>
    </w:p>
    <w:sectPr w:rsidR="002A0EE0" w:rsidRPr="002A0EE0" w:rsidSect="00594CEF">
      <w:headerReference w:type="default" r:id="rId30"/>
      <w:footerReference w:type="default" r:id="rId31"/>
      <w:pgSz w:w="12240" w:h="15840"/>
      <w:pgMar w:top="1890" w:right="1440" w:bottom="1440" w:left="1440" w:header="432" w:footer="720" w:gutter="0"/>
      <w:pgNumType w:start="7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7BF3FD" w14:textId="77777777" w:rsidR="00CD17C3" w:rsidRDefault="00CD17C3" w:rsidP="00E54B84">
      <w:pPr>
        <w:spacing w:after="0" w:line="240" w:lineRule="auto"/>
      </w:pPr>
      <w:r>
        <w:separator/>
      </w:r>
    </w:p>
  </w:endnote>
  <w:endnote w:type="continuationSeparator" w:id="0">
    <w:p w14:paraId="3CA1E353" w14:textId="77777777" w:rsidR="00CD17C3" w:rsidRDefault="00CD17C3" w:rsidP="00E54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SimSun">
    <w:altName w:val="宋体"/>
    <w:panose1 w:val="02010600030101010101"/>
    <w:charset w:val="86"/>
    <w:family w:val="auto"/>
    <w:notTrueType/>
    <w:pitch w:val="variable"/>
    <w:sig w:usb0="00000001" w:usb1="080E0000" w:usb2="00000010" w:usb3="00000000" w:csb0="00040000" w:csb1="00000000"/>
  </w:font>
  <w:font w:name="DecoType Thuluth">
    <w:panose1 w:val="02010000000000000000"/>
    <w:charset w:val="B2"/>
    <w:family w:val="auto"/>
    <w:pitch w:val="variable"/>
    <w:sig w:usb0="00002001" w:usb1="80000000" w:usb2="00000008" w:usb3="00000000" w:csb0="00000040" w:csb1="00000000"/>
  </w:font>
  <w:font w:name="Simplified Arabic">
    <w:panose1 w:val="02020603050405020304"/>
    <w:charset w:val="00"/>
    <w:family w:val="roman"/>
    <w:pitch w:val="variable"/>
    <w:sig w:usb0="00002003" w:usb1="00000000" w:usb2="00000000" w:usb3="00000000" w:csb0="00000041" w:csb1="00000000"/>
  </w:font>
  <w:font w:name="Algerian">
    <w:panose1 w:val="04020705040A02060702"/>
    <w:charset w:val="00"/>
    <w:family w:val="decorative"/>
    <w:pitch w:val="variable"/>
    <w:sig w:usb0="00000003" w:usb1="00000000" w:usb2="00000000" w:usb3="00000000" w:csb0="00000001" w:csb1="00000000"/>
  </w:font>
  <w:font w:name="Franklin Gothic Demi Cond">
    <w:altName w:val="Open Sans"/>
    <w:charset w:val="00"/>
    <w:family w:val="swiss"/>
    <w:pitch w:val="variable"/>
    <w:sig w:usb0="00000001" w:usb1="00000000" w:usb2="00000000" w:usb3="00000000" w:csb0="0000009F" w:csb1="00000000"/>
  </w:font>
  <w:font w:name="Aptos">
    <w:altName w:val="Arial"/>
    <w:charset w:val="00"/>
    <w:family w:val="swiss"/>
    <w:pitch w:val="variable"/>
    <w:sig w:usb0="00000001" w:usb1="00000003" w:usb2="00000000" w:usb3="00000000" w:csb0="0000019F" w:csb1="00000000"/>
  </w:font>
  <w:font w:name="Century">
    <w:panose1 w:val="02040604050505020304"/>
    <w:charset w:val="00"/>
    <w:family w:val="roman"/>
    <w:notTrueType/>
    <w:pitch w:val="variable"/>
    <w:sig w:usb0="00000003" w:usb1="00000000" w:usb2="00000000" w:usb3="00000000" w:csb0="00000001" w:csb1="00000000"/>
  </w:font>
  <w:font w:name="Yu Gothic UI Semibold">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8797410"/>
      <w:docPartObj>
        <w:docPartGallery w:val="Page Numbers (Bottom of Page)"/>
        <w:docPartUnique/>
      </w:docPartObj>
    </w:sdtPr>
    <w:sdtEndPr/>
    <w:sdtContent>
      <w:p w14:paraId="22C17634" w14:textId="0997AE17" w:rsidR="002A0EE0" w:rsidRPr="005D3414" w:rsidRDefault="002A0EE0">
        <w:pPr>
          <w:pStyle w:val="a4"/>
          <w:rPr>
            <w:sz w:val="16"/>
            <w:szCs w:val="16"/>
          </w:rPr>
        </w:pPr>
        <w:r>
          <w:rPr>
            <w:noProof/>
            <w:rtl/>
          </w:rPr>
          <mc:AlternateContent>
            <mc:Choice Requires="wps">
              <w:drawing>
                <wp:anchor distT="0" distB="0" distL="114300" distR="114300" simplePos="0" relativeHeight="251667456" behindDoc="0" locked="0" layoutInCell="1" allowOverlap="1" wp14:anchorId="658B7EA9" wp14:editId="42B3388D">
                  <wp:simplePos x="0" y="0"/>
                  <wp:positionH relativeFrom="margin">
                    <wp:align>center</wp:align>
                  </wp:positionH>
                  <wp:positionV relativeFrom="bottomMargin">
                    <wp:align>center</wp:align>
                  </wp:positionV>
                  <wp:extent cx="551815" cy="238760"/>
                  <wp:effectExtent l="19050" t="19050" r="19685" b="18415"/>
                  <wp:wrapNone/>
                  <wp:docPr id="139740470" name="قوس متوسط مزدوج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B7BB2FA" w14:textId="140A377A" w:rsidR="002A0EE0" w:rsidRPr="005D3414" w:rsidRDefault="002A0EE0" w:rsidP="005D3414">
                              <w:pPr>
                                <w:jc w:val="center"/>
                                <w:rPr>
                                  <w:b/>
                                  <w:bCs/>
                                  <w:sz w:val="28"/>
                                  <w:szCs w:val="28"/>
                                  <w:lang w:bidi="ar-IQ"/>
                                </w:rPr>
                              </w:pP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قوس متوسط مزدوج 8" o:spid="_x0000_s1028" type="#_x0000_t185" style="position:absolute;margin-left:0;margin-top:0;width:43.45pt;height:18.8pt;z-index:25166745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" filled="t" strokecolor="gray" strokeweight="2.25pt">
                  <v:textbox inset=",0,,0">
                    <w:txbxContent>
                      <w:p w14:paraId="5B7BB2FA" w14:textId="140A377A" w:rsidR="002A0EE0" w:rsidRPr="005D3414" w:rsidRDefault="002A0EE0" w:rsidP="005D3414">
                        <w:pPr>
                          <w:jc w:val="center"/>
                          <w:rPr>
                            <w:b/>
                            <w:bCs/>
                            <w:sz w:val="28"/>
                            <w:szCs w:val="28"/>
                            <w:lang w:bidi="ar-IQ"/>
                          </w:rPr>
                        </w:pPr>
                      </w:p>
                    </w:txbxContent>
                  </v:textbox>
                  <w10:wrap anchorx="margin" anchory="margin"/>
                </v:shape>
              </w:pict>
            </mc:Fallback>
          </mc:AlternateContent>
        </w:r>
        <w:r>
          <w:rPr>
            <w:noProof/>
            <w:rtl/>
          </w:rPr>
          <mc:AlternateContent>
            <mc:Choice Requires="wps">
              <w:drawing>
                <wp:anchor distT="0" distB="0" distL="114300" distR="114300" simplePos="0" relativeHeight="251666432" behindDoc="0" locked="0" layoutInCell="1" allowOverlap="1" wp14:anchorId="3386F542" wp14:editId="5DB8E240">
                  <wp:simplePos x="0" y="0"/>
                  <wp:positionH relativeFrom="margin">
                    <wp:align>center</wp:align>
                  </wp:positionH>
                  <wp:positionV relativeFrom="bottomMargin">
                    <wp:align>center</wp:align>
                  </wp:positionV>
                  <wp:extent cx="5518150" cy="0"/>
                  <wp:effectExtent l="9525" t="9525" r="6350" b="9525"/>
                  <wp:wrapNone/>
                  <wp:docPr id="138054668" name="رابط كسهم مستقيم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50BA029" id="_x0000_t32" coordsize="21600,21600" o:spt="32" o:oned="t" path="m,l21600,21600e" filled="f">
                  <v:path arrowok="t" fillok="f" o:connecttype="none"/>
                  <o:lock v:ext="edit" shapetype="t"/>
                </v:shapetype>
                <v:shape id="رابط كسهم مستقيم 7" o:spid="_x0000_s1026" type="#_x0000_t32" style="position:absolute;margin-left:0;margin-top:0;width:434.5pt;height:0;z-index:25166643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XSpec="right" w:tblpY="1"/>
      <w:bidiVisual/>
      <w:tblW w:w="5000" w:type="pct"/>
      <w:tblLook w:val="04A0" w:firstRow="1" w:lastRow="0" w:firstColumn="1" w:lastColumn="0" w:noHBand="0" w:noVBand="1"/>
    </w:tblPr>
    <w:tblGrid>
      <w:gridCol w:w="4309"/>
      <w:gridCol w:w="958"/>
      <w:gridCol w:w="4309"/>
    </w:tblGrid>
    <w:tr w:rsidR="00594CEF" w14:paraId="76416221" w14:textId="77777777">
      <w:trPr>
        <w:trHeight w:val="151"/>
      </w:trPr>
      <w:tc>
        <w:tcPr>
          <w:tcW w:w="2250" w:type="pct"/>
          <w:tcBorders>
            <w:bottom w:val="single" w:sz="4" w:space="0" w:color="4F81BD" w:themeColor="accent1"/>
          </w:tcBorders>
        </w:tcPr>
        <w:p w14:paraId="0504DAD2" w14:textId="77777777" w:rsidR="00594CEF" w:rsidRDefault="00594CEF">
          <w:pPr>
            <w:pStyle w:val="a3"/>
            <w:rPr>
              <w:rFonts w:asciiTheme="majorHAnsi" w:eastAsiaTheme="majorEastAsia" w:hAnsiTheme="majorHAnsi" w:cstheme="majorBidi"/>
              <w:b/>
              <w:bCs/>
            </w:rPr>
          </w:pPr>
        </w:p>
      </w:tc>
      <w:tc>
        <w:tcPr>
          <w:tcW w:w="500" w:type="pct"/>
          <w:vMerge w:val="restart"/>
          <w:noWrap/>
          <w:vAlign w:val="center"/>
        </w:tcPr>
        <w:p w14:paraId="264B512E" w14:textId="43C4DF67" w:rsidR="00594CEF" w:rsidRDefault="00594CEF" w:rsidP="00594CEF">
          <w:pPr>
            <w:pStyle w:val="a6"/>
            <w:jc w:val="center"/>
            <w:rPr>
              <w:rFonts w:asciiTheme="majorHAnsi" w:eastAsiaTheme="majorEastAsia" w:hAnsiTheme="majorHAnsi" w:cstheme="majorBidi"/>
            </w:rPr>
          </w:pP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004260FF" w:rsidRPr="004260FF">
            <w:rPr>
              <w:rFonts w:asciiTheme="majorHAnsi" w:eastAsiaTheme="majorEastAsia" w:hAnsiTheme="majorHAnsi" w:cs="Cambria"/>
              <w:b/>
              <w:bCs/>
              <w:noProof/>
              <w:lang w:val="ar-SA"/>
            </w:rPr>
            <w:t>91</w:t>
          </w:r>
          <w:r>
            <w:rPr>
              <w:rFonts w:asciiTheme="majorHAnsi" w:eastAsiaTheme="majorEastAsia" w:hAnsiTheme="majorHAnsi" w:cstheme="majorBidi"/>
              <w:b/>
              <w:bCs/>
            </w:rPr>
            <w:fldChar w:fldCharType="end"/>
          </w:r>
        </w:p>
      </w:tc>
      <w:tc>
        <w:tcPr>
          <w:tcW w:w="2250" w:type="pct"/>
          <w:tcBorders>
            <w:bottom w:val="single" w:sz="4" w:space="0" w:color="4F81BD" w:themeColor="accent1"/>
          </w:tcBorders>
        </w:tcPr>
        <w:p w14:paraId="32760F9A" w14:textId="77777777" w:rsidR="00594CEF" w:rsidRDefault="00594CEF">
          <w:pPr>
            <w:pStyle w:val="a3"/>
            <w:rPr>
              <w:rFonts w:asciiTheme="majorHAnsi" w:eastAsiaTheme="majorEastAsia" w:hAnsiTheme="majorHAnsi" w:cstheme="majorBidi"/>
              <w:b/>
              <w:bCs/>
            </w:rPr>
          </w:pPr>
        </w:p>
      </w:tc>
    </w:tr>
    <w:tr w:rsidR="00594CEF" w14:paraId="46945670" w14:textId="77777777">
      <w:trPr>
        <w:trHeight w:val="150"/>
      </w:trPr>
      <w:tc>
        <w:tcPr>
          <w:tcW w:w="2250" w:type="pct"/>
          <w:tcBorders>
            <w:top w:val="single" w:sz="4" w:space="0" w:color="4F81BD" w:themeColor="accent1"/>
          </w:tcBorders>
        </w:tcPr>
        <w:p w14:paraId="455E8E5D" w14:textId="77777777" w:rsidR="00594CEF" w:rsidRDefault="00594CEF">
          <w:pPr>
            <w:pStyle w:val="a3"/>
            <w:rPr>
              <w:rFonts w:asciiTheme="majorHAnsi" w:eastAsiaTheme="majorEastAsia" w:hAnsiTheme="majorHAnsi" w:cstheme="majorBidi"/>
              <w:b/>
              <w:bCs/>
            </w:rPr>
          </w:pPr>
        </w:p>
      </w:tc>
      <w:tc>
        <w:tcPr>
          <w:tcW w:w="500" w:type="pct"/>
          <w:vMerge/>
        </w:tcPr>
        <w:p w14:paraId="578861B9" w14:textId="77777777" w:rsidR="00594CEF" w:rsidRDefault="00594CEF">
          <w:pPr>
            <w:pStyle w:val="a3"/>
            <w:jc w:val="center"/>
            <w:rPr>
              <w:rFonts w:asciiTheme="majorHAnsi" w:eastAsiaTheme="majorEastAsia" w:hAnsiTheme="majorHAnsi" w:cstheme="majorBidi"/>
              <w:b/>
              <w:bCs/>
            </w:rPr>
          </w:pPr>
        </w:p>
      </w:tc>
      <w:tc>
        <w:tcPr>
          <w:tcW w:w="2250" w:type="pct"/>
          <w:tcBorders>
            <w:top w:val="single" w:sz="4" w:space="0" w:color="4F81BD" w:themeColor="accent1"/>
          </w:tcBorders>
        </w:tcPr>
        <w:p w14:paraId="2619CB2D" w14:textId="77777777" w:rsidR="00594CEF" w:rsidRDefault="00594CEF">
          <w:pPr>
            <w:pStyle w:val="a3"/>
            <w:rPr>
              <w:rFonts w:asciiTheme="majorHAnsi" w:eastAsiaTheme="majorEastAsia" w:hAnsiTheme="majorHAnsi" w:cstheme="majorBidi"/>
              <w:b/>
              <w:bCs/>
            </w:rPr>
          </w:pPr>
        </w:p>
      </w:tc>
    </w:tr>
  </w:tbl>
  <w:p w14:paraId="28139004" w14:textId="52403A2E" w:rsidR="002A0EE0" w:rsidRPr="005D3414" w:rsidRDefault="002A0EE0">
    <w:pPr>
      <w:pStyle w:val="a4"/>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971929" w14:textId="77777777" w:rsidR="00CD17C3" w:rsidRDefault="00CD17C3" w:rsidP="00E54B84">
      <w:pPr>
        <w:spacing w:after="0" w:line="240" w:lineRule="auto"/>
      </w:pPr>
      <w:r>
        <w:separator/>
      </w:r>
    </w:p>
  </w:footnote>
  <w:footnote w:type="continuationSeparator" w:id="0">
    <w:p w14:paraId="506815A7" w14:textId="77777777" w:rsidR="00CD17C3" w:rsidRDefault="00CD17C3" w:rsidP="00E54B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DE893" w14:textId="5C5DC642" w:rsidR="002A0EE0" w:rsidRPr="00897EBD" w:rsidRDefault="002A0EE0" w:rsidP="00FA12C6">
    <w:pPr>
      <w:pStyle w:val="a6"/>
      <w:spacing w:line="360" w:lineRule="auto"/>
      <w:jc w:val="center"/>
      <w:rPr>
        <w:rFonts w:ascii="Algerian" w:eastAsia="Yu Gothic UI Semibold" w:hAnsi="Algerian" w:cstheme="majorBidi"/>
        <w:color w:val="0F243E" w:themeColor="text2" w:themeShade="80"/>
        <w:sz w:val="24"/>
        <w:szCs w:val="24"/>
        <w:lang w:bidi="ar-IQ"/>
      </w:rPr>
    </w:pPr>
    <w:r w:rsidRPr="00897EBD">
      <w:rPr>
        <w:rFonts w:ascii="Algerian" w:eastAsia="Yu Gothic UI Semibold" w:hAnsi="Algerian" w:cstheme="majorBidi"/>
        <w:noProof/>
        <w:color w:val="0F243E" w:themeColor="text2" w:themeShade="80"/>
        <w:sz w:val="24"/>
        <w:szCs w:val="24"/>
      </w:rPr>
      <w:drawing>
        <wp:anchor distT="0" distB="0" distL="114300" distR="114300" simplePos="0" relativeHeight="251668480" behindDoc="0" locked="0" layoutInCell="1" allowOverlap="1" wp14:anchorId="7318BCA1" wp14:editId="0BFE5572">
          <wp:simplePos x="0" y="0"/>
          <wp:positionH relativeFrom="column">
            <wp:posOffset>153619</wp:posOffset>
          </wp:positionH>
          <wp:positionV relativeFrom="paragraph">
            <wp:posOffset>76810</wp:posOffset>
          </wp:positionV>
          <wp:extent cx="744975" cy="687628"/>
          <wp:effectExtent l="0" t="0" r="0" b="0"/>
          <wp:wrapNone/>
          <wp:docPr id="29"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nsk4ojnsk4ojnsk4.jpeg"/>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747318" cy="689791"/>
                  </a:xfrm>
                  <a:prstGeom prst="rect">
                    <a:avLst/>
                  </a:prstGeom>
                </pic:spPr>
              </pic:pic>
            </a:graphicData>
          </a:graphic>
          <wp14:sizeRelH relativeFrom="margin">
            <wp14:pctWidth>0</wp14:pctWidth>
          </wp14:sizeRelH>
          <wp14:sizeRelV relativeFrom="margin">
            <wp14:pctHeight>0</wp14:pctHeight>
          </wp14:sizeRelV>
        </wp:anchor>
      </w:drawing>
    </w:r>
    <w:r w:rsidRPr="00897EBD">
      <w:rPr>
        <w:rFonts w:ascii="Algerian" w:hAnsi="Algerian"/>
        <w:noProof/>
        <w:sz w:val="24"/>
        <w:szCs w:val="24"/>
        <w:rtl/>
      </w:rPr>
      <mc:AlternateContent>
        <mc:Choice Requires="wps">
          <w:drawing>
            <wp:anchor distT="0" distB="0" distL="114300" distR="114300" simplePos="0" relativeHeight="251660288" behindDoc="0" locked="0" layoutInCell="1" allowOverlap="1" wp14:anchorId="66DBBA2E" wp14:editId="31B263A3">
              <wp:simplePos x="0" y="0"/>
              <wp:positionH relativeFrom="column">
                <wp:posOffset>4636465</wp:posOffset>
              </wp:positionH>
              <wp:positionV relativeFrom="paragraph">
                <wp:posOffset>-3048</wp:posOffset>
              </wp:positionV>
              <wp:extent cx="1093698" cy="592532"/>
              <wp:effectExtent l="0" t="0" r="0" b="36195"/>
              <wp:wrapNone/>
              <wp:docPr id="332140291"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93698" cy="592532"/>
                      </a:xfrm>
                      <a:prstGeom prst="rect">
                        <a:avLst/>
                      </a:prstGeom>
                      <a:noFill/>
                      <a:ln>
                        <a:noFill/>
                        <a:headEnd/>
                        <a:tailEnd/>
                      </a:ln>
                    </wps:spPr>
                    <wps:style>
                      <a:lnRef idx="1">
                        <a:schemeClr val="accent3"/>
                      </a:lnRef>
                      <a:fillRef idx="2">
                        <a:schemeClr val="accent3"/>
                      </a:fillRef>
                      <a:effectRef idx="1">
                        <a:schemeClr val="accent3"/>
                      </a:effectRef>
                      <a:fontRef idx="minor">
                        <a:schemeClr val="dk1"/>
                      </a:fontRef>
                    </wps:style>
                    <wps:txbx>
                      <w:txbxContent>
                        <w:p w14:paraId="40F0A802" w14:textId="77777777" w:rsidR="002A0EE0" w:rsidRPr="00A95977" w:rsidRDefault="002A0EE0" w:rsidP="0086566B">
                          <w:pPr>
                            <w:jc w:val="center"/>
                            <w:rPr>
                              <w:b/>
                              <w:color w:val="EEECE1" w:themeColor="background2"/>
                              <w:sz w:val="44"/>
                              <w:szCs w:val="44"/>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A95977">
                            <w:rPr>
                              <w:b/>
                              <w:color w:val="EEECE1" w:themeColor="background2"/>
                              <w:sz w:val="44"/>
                              <w:szCs w:val="44"/>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MJAS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ربع نص 2" o:spid="_x0000_s1027" type="#_x0000_t202" style="position:absolute;left:0;text-align:left;margin-left:365.1pt;margin-top:-.25pt;width:86.1pt;height:46.6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" filled="f" stroked="f">
              <v:shadow on="t" color="black" opacity="24903f" origin=",.5" offset="0,.55556mm"/>
              <v:textbox>
                <w:txbxContent>
                  <w:p w14:paraId="40F0A802" w14:textId="77777777" w:rsidR="002A0EE0" w:rsidRPr="00A95977" w:rsidRDefault="002A0EE0" w:rsidP="0086566B">
                    <w:pPr>
                      <w:jc w:val="center"/>
                      <w:rPr>
                        <w:b/>
                        <w:color w:val="EEECE1" w:themeColor="background2"/>
                        <w:sz w:val="44"/>
                        <w:szCs w:val="44"/>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A95977">
                      <w:rPr>
                        <w:b/>
                        <w:color w:val="EEECE1" w:themeColor="background2"/>
                        <w:sz w:val="44"/>
                        <w:szCs w:val="44"/>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MJAS</w:t>
                    </w:r>
                  </w:p>
                </w:txbxContent>
              </v:textbox>
            </v:shape>
          </w:pict>
        </mc:Fallback>
      </mc:AlternateContent>
    </w:r>
    <w:r w:rsidRPr="00897EBD">
      <w:rPr>
        <w:rFonts w:ascii="Algerian" w:eastAsia="Yu Gothic UI Semibold" w:hAnsi="Algerian" w:cstheme="majorBidi"/>
        <w:color w:val="0F243E" w:themeColor="text2" w:themeShade="80"/>
        <w:sz w:val="24"/>
        <w:szCs w:val="24"/>
        <w:lang w:bidi="ar-IQ"/>
      </w:rPr>
      <w:t>Misan Journal for Academic Studies</w:t>
    </w:r>
  </w:p>
  <w:p w14:paraId="6D5011C9" w14:textId="5D77EA20" w:rsidR="002A0EE0" w:rsidRPr="00897EBD" w:rsidRDefault="002A0EE0" w:rsidP="00FA12C6">
    <w:pPr>
      <w:pStyle w:val="a6"/>
      <w:spacing w:line="360" w:lineRule="auto"/>
      <w:jc w:val="center"/>
      <w:rPr>
        <w:rFonts w:ascii="Algerian" w:eastAsia="Yu Gothic UI Semibold" w:hAnsi="Algerian" w:cstheme="majorBidi"/>
        <w:color w:val="0F243E" w:themeColor="text2" w:themeShade="80"/>
        <w:sz w:val="24"/>
        <w:szCs w:val="24"/>
        <w:lang w:bidi="ar-IQ"/>
      </w:rPr>
    </w:pPr>
    <w:r w:rsidRPr="00897EBD">
      <w:rPr>
        <w:rFonts w:ascii="Algerian" w:eastAsia="Yu Gothic UI Semibold" w:hAnsi="Algerian" w:cstheme="majorBidi"/>
        <w:color w:val="0F243E" w:themeColor="text2" w:themeShade="80"/>
        <w:sz w:val="24"/>
        <w:szCs w:val="24"/>
        <w:lang w:bidi="ar-IQ"/>
      </w:rPr>
      <w:t>HumanitIEs,</w:t>
    </w:r>
    <w:r w:rsidRPr="00897EBD">
      <w:rPr>
        <w:rFonts w:ascii="Algerian" w:eastAsia="Yu Gothic UI Semibold" w:hAnsi="Algerian" w:cstheme="majorBidi"/>
        <w:color w:val="0F243E" w:themeColor="text2" w:themeShade="80"/>
        <w:sz w:val="24"/>
        <w:szCs w:val="24"/>
        <w:rtl/>
        <w:lang w:bidi="ar-IQ"/>
      </w:rPr>
      <w:t xml:space="preserve"> </w:t>
    </w:r>
    <w:r w:rsidRPr="00897EBD">
      <w:rPr>
        <w:rFonts w:ascii="Algerian" w:eastAsia="Yu Gothic UI Semibold" w:hAnsi="Algerian" w:cstheme="majorBidi"/>
        <w:color w:val="0F243E" w:themeColor="text2" w:themeShade="80"/>
        <w:sz w:val="24"/>
        <w:szCs w:val="24"/>
        <w:lang w:bidi="ar-IQ"/>
      </w:rPr>
      <w:t>Social and Applied Sciences</w:t>
    </w:r>
  </w:p>
  <w:p w14:paraId="110C59F0" w14:textId="2C503573" w:rsidR="002A0EE0" w:rsidRPr="00897EBD" w:rsidRDefault="002A0EE0" w:rsidP="00897EBD">
    <w:pPr>
      <w:pStyle w:val="a3"/>
      <w:tabs>
        <w:tab w:val="clear" w:pos="4680"/>
        <w:tab w:val="clear" w:pos="9360"/>
        <w:tab w:val="left" w:pos="2842"/>
      </w:tabs>
      <w:spacing w:line="360" w:lineRule="auto"/>
      <w:jc w:val="center"/>
      <w:rPr>
        <w:rFonts w:ascii="Algerian" w:hAnsi="Algerian"/>
        <w:sz w:val="24"/>
        <w:szCs w:val="24"/>
      </w:rPr>
    </w:pPr>
    <w:r w:rsidRPr="00897EBD">
      <w:rPr>
        <w:rFonts w:ascii="Algerian" w:eastAsia="Yu Gothic UI Semibold" w:hAnsi="Algerian" w:cstheme="majorBidi"/>
        <w:color w:val="0F243E" w:themeColor="text2" w:themeShade="80"/>
        <w:sz w:val="24"/>
        <w:szCs w:val="24"/>
        <w:lang w:bidi="ar-IQ"/>
      </w:rPr>
      <w:t>Vole 2026, Issue 59, SEP,2026</w:t>
    </w:r>
  </w:p>
  <w:p w14:paraId="4988AE27" w14:textId="38796066" w:rsidR="002A0EE0" w:rsidRPr="008C4480" w:rsidRDefault="002A0EE0" w:rsidP="00DD4C57">
    <w:pPr>
      <w:pStyle w:val="a3"/>
      <w:tabs>
        <w:tab w:val="clear" w:pos="4680"/>
        <w:tab w:val="clear" w:pos="9360"/>
        <w:tab w:val="left" w:pos="2842"/>
      </w:tabs>
    </w:pPr>
    <w:r>
      <w:rPr>
        <w:noProof/>
        <w:rtl/>
      </w:rPr>
      <mc:AlternateContent>
        <mc:Choice Requires="wps">
          <w:drawing>
            <wp:anchor distT="0" distB="0" distL="114300" distR="114300" simplePos="0" relativeHeight="251663360" behindDoc="0" locked="0" layoutInCell="1" allowOverlap="1" wp14:anchorId="2F3BBC4B" wp14:editId="1DF535CC">
              <wp:simplePos x="0" y="0"/>
              <wp:positionH relativeFrom="column">
                <wp:posOffset>-28575</wp:posOffset>
              </wp:positionH>
              <wp:positionV relativeFrom="paragraph">
                <wp:posOffset>45085</wp:posOffset>
              </wp:positionV>
              <wp:extent cx="6000750" cy="0"/>
              <wp:effectExtent l="57150" t="38100" r="57150" b="95250"/>
              <wp:wrapNone/>
              <wp:docPr id="422655362" name="رابط مستقيم 6"/>
              <wp:cNvGraphicFramePr/>
              <a:graphic xmlns:a="http://schemas.openxmlformats.org/drawingml/2006/main">
                <a:graphicData uri="http://schemas.microsoft.com/office/word/2010/wordprocessingShape">
                  <wps:wsp>
                    <wps:cNvCnPr/>
                    <wps:spPr>
                      <a:xfrm flipH="1">
                        <a:off x="0" y="0"/>
                        <a:ext cx="60007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B16799D" id="رابط مستقيم 6"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3.55pt" to="470.2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" strokecolor="black [3200]" strokeweight="2pt">
              <v:shadow on="t" color="black" opacity="24903f" origin=",.5" offset="0,.55556mm"/>
            </v:line>
          </w:pict>
        </mc:Fallback>
      </mc:AlternateContent>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7B790" w14:textId="77777777" w:rsidR="002A0EE0" w:rsidRPr="00897EBD" w:rsidRDefault="002A0EE0" w:rsidP="00FA12C6">
    <w:pPr>
      <w:pStyle w:val="a6"/>
      <w:spacing w:line="360" w:lineRule="auto"/>
      <w:jc w:val="center"/>
      <w:rPr>
        <w:rFonts w:ascii="Algerian" w:eastAsia="Yu Gothic UI Semibold" w:hAnsi="Algerian" w:cstheme="majorBidi"/>
        <w:color w:val="0F243E" w:themeColor="text2" w:themeShade="80"/>
        <w:sz w:val="24"/>
        <w:szCs w:val="24"/>
        <w:lang w:bidi="ar-IQ"/>
      </w:rPr>
    </w:pPr>
    <w:r w:rsidRPr="00897EBD">
      <w:rPr>
        <w:rFonts w:ascii="Algerian" w:eastAsia="Yu Gothic UI Semibold" w:hAnsi="Algerian" w:cstheme="majorBidi"/>
        <w:noProof/>
        <w:color w:val="0F243E" w:themeColor="text2" w:themeShade="80"/>
        <w:sz w:val="24"/>
        <w:szCs w:val="24"/>
      </w:rPr>
      <w:drawing>
        <wp:anchor distT="0" distB="0" distL="114300" distR="114300" simplePos="0" relativeHeight="251672576" behindDoc="0" locked="0" layoutInCell="1" allowOverlap="1" wp14:anchorId="00B4DE16" wp14:editId="35B8A28C">
          <wp:simplePos x="0" y="0"/>
          <wp:positionH relativeFrom="column">
            <wp:posOffset>153619</wp:posOffset>
          </wp:positionH>
          <wp:positionV relativeFrom="paragraph">
            <wp:posOffset>76810</wp:posOffset>
          </wp:positionV>
          <wp:extent cx="744975" cy="687628"/>
          <wp:effectExtent l="0" t="0" r="0" b="0"/>
          <wp:wrapNone/>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nsk4ojnsk4ojnsk4.jpeg"/>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747318" cy="689791"/>
                  </a:xfrm>
                  <a:prstGeom prst="rect">
                    <a:avLst/>
                  </a:prstGeom>
                </pic:spPr>
              </pic:pic>
            </a:graphicData>
          </a:graphic>
          <wp14:sizeRelH relativeFrom="margin">
            <wp14:pctWidth>0</wp14:pctWidth>
          </wp14:sizeRelH>
          <wp14:sizeRelV relativeFrom="margin">
            <wp14:pctHeight>0</wp14:pctHeight>
          </wp14:sizeRelV>
        </wp:anchor>
      </w:drawing>
    </w:r>
    <w:r w:rsidRPr="00897EBD">
      <w:rPr>
        <w:rFonts w:ascii="Algerian" w:hAnsi="Algerian"/>
        <w:noProof/>
        <w:sz w:val="24"/>
        <w:szCs w:val="24"/>
        <w:rtl/>
      </w:rPr>
      <mc:AlternateContent>
        <mc:Choice Requires="wps">
          <w:drawing>
            <wp:anchor distT="0" distB="0" distL="114300" distR="114300" simplePos="0" relativeHeight="251670528" behindDoc="0" locked="0" layoutInCell="1" allowOverlap="1" wp14:anchorId="0740A350" wp14:editId="55C5F9D2">
              <wp:simplePos x="0" y="0"/>
              <wp:positionH relativeFrom="column">
                <wp:posOffset>4636465</wp:posOffset>
              </wp:positionH>
              <wp:positionV relativeFrom="paragraph">
                <wp:posOffset>-3048</wp:posOffset>
              </wp:positionV>
              <wp:extent cx="1093698" cy="592532"/>
              <wp:effectExtent l="0" t="0" r="0" b="36195"/>
              <wp:wrapNone/>
              <wp:docPr id="30"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93698" cy="592532"/>
                      </a:xfrm>
                      <a:prstGeom prst="rect">
                        <a:avLst/>
                      </a:prstGeom>
                      <a:noFill/>
                      <a:ln>
                        <a:noFill/>
                        <a:headEnd/>
                        <a:tailEnd/>
                      </a:ln>
                    </wps:spPr>
                    <wps:style>
                      <a:lnRef idx="1">
                        <a:schemeClr val="accent3"/>
                      </a:lnRef>
                      <a:fillRef idx="2">
                        <a:schemeClr val="accent3"/>
                      </a:fillRef>
                      <a:effectRef idx="1">
                        <a:schemeClr val="accent3"/>
                      </a:effectRef>
                      <a:fontRef idx="minor">
                        <a:schemeClr val="dk1"/>
                      </a:fontRef>
                    </wps:style>
                    <wps:txbx>
                      <w:txbxContent>
                        <w:p w14:paraId="67F5C79D" w14:textId="77777777" w:rsidR="002A0EE0" w:rsidRPr="00A95977" w:rsidRDefault="002A0EE0" w:rsidP="0086566B">
                          <w:pPr>
                            <w:jc w:val="center"/>
                            <w:rPr>
                              <w:b/>
                              <w:color w:val="EEECE1" w:themeColor="background2"/>
                              <w:sz w:val="44"/>
                              <w:szCs w:val="44"/>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A95977">
                            <w:rPr>
                              <w:b/>
                              <w:color w:val="EEECE1" w:themeColor="background2"/>
                              <w:sz w:val="44"/>
                              <w:szCs w:val="44"/>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MJAS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365.1pt;margin-top:-.25pt;width:86.1pt;height:46.6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" filled="f" stroked="f">
              <v:shadow on="t" color="black" opacity="24903f" origin=",.5" offset="0,.55556mm"/>
              <v:textbox>
                <w:txbxContent>
                  <w:p w14:paraId="67F5C79D" w14:textId="77777777" w:rsidR="002A0EE0" w:rsidRPr="00A95977" w:rsidRDefault="002A0EE0" w:rsidP="0086566B">
                    <w:pPr>
                      <w:jc w:val="center"/>
                      <w:rPr>
                        <w:b/>
                        <w:color w:val="EEECE1" w:themeColor="background2"/>
                        <w:sz w:val="44"/>
                        <w:szCs w:val="44"/>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A95977">
                      <w:rPr>
                        <w:b/>
                        <w:color w:val="EEECE1" w:themeColor="background2"/>
                        <w:sz w:val="44"/>
                        <w:szCs w:val="44"/>
                        <w:lang w:bidi="ar-IQ"/>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MJAS</w:t>
                    </w:r>
                  </w:p>
                </w:txbxContent>
              </v:textbox>
            </v:shape>
          </w:pict>
        </mc:Fallback>
      </mc:AlternateContent>
    </w:r>
    <w:r w:rsidRPr="00897EBD">
      <w:rPr>
        <w:rFonts w:ascii="Algerian" w:eastAsia="Yu Gothic UI Semibold" w:hAnsi="Algerian" w:cstheme="majorBidi"/>
        <w:color w:val="0F243E" w:themeColor="text2" w:themeShade="80"/>
        <w:sz w:val="24"/>
        <w:szCs w:val="24"/>
        <w:lang w:bidi="ar-IQ"/>
      </w:rPr>
      <w:t>Misan Journal for Academic Studies</w:t>
    </w:r>
  </w:p>
  <w:p w14:paraId="6C49EDDF" w14:textId="77777777" w:rsidR="002A0EE0" w:rsidRPr="00897EBD" w:rsidRDefault="002A0EE0" w:rsidP="00FA12C6">
    <w:pPr>
      <w:pStyle w:val="a6"/>
      <w:spacing w:line="360" w:lineRule="auto"/>
      <w:jc w:val="center"/>
      <w:rPr>
        <w:rFonts w:ascii="Algerian" w:eastAsia="Yu Gothic UI Semibold" w:hAnsi="Algerian" w:cstheme="majorBidi"/>
        <w:color w:val="0F243E" w:themeColor="text2" w:themeShade="80"/>
        <w:sz w:val="24"/>
        <w:szCs w:val="24"/>
        <w:lang w:bidi="ar-IQ"/>
      </w:rPr>
    </w:pPr>
    <w:r w:rsidRPr="00897EBD">
      <w:rPr>
        <w:rFonts w:ascii="Algerian" w:eastAsia="Yu Gothic UI Semibold" w:hAnsi="Algerian" w:cstheme="majorBidi"/>
        <w:color w:val="0F243E" w:themeColor="text2" w:themeShade="80"/>
        <w:sz w:val="24"/>
        <w:szCs w:val="24"/>
        <w:lang w:bidi="ar-IQ"/>
      </w:rPr>
      <w:t>HumanitIEs,</w:t>
    </w:r>
    <w:r w:rsidRPr="00897EBD">
      <w:rPr>
        <w:rFonts w:ascii="Algerian" w:eastAsia="Yu Gothic UI Semibold" w:hAnsi="Algerian" w:cstheme="majorBidi"/>
        <w:color w:val="0F243E" w:themeColor="text2" w:themeShade="80"/>
        <w:sz w:val="24"/>
        <w:szCs w:val="24"/>
        <w:rtl/>
        <w:lang w:bidi="ar-IQ"/>
      </w:rPr>
      <w:t xml:space="preserve"> </w:t>
    </w:r>
    <w:r w:rsidRPr="00897EBD">
      <w:rPr>
        <w:rFonts w:ascii="Algerian" w:eastAsia="Yu Gothic UI Semibold" w:hAnsi="Algerian" w:cstheme="majorBidi"/>
        <w:color w:val="0F243E" w:themeColor="text2" w:themeShade="80"/>
        <w:sz w:val="24"/>
        <w:szCs w:val="24"/>
        <w:lang w:bidi="ar-IQ"/>
      </w:rPr>
      <w:t>Social and Applied Sciences</w:t>
    </w:r>
  </w:p>
  <w:p w14:paraId="6B3766B1" w14:textId="28501DA6" w:rsidR="002A0EE0" w:rsidRPr="00897EBD" w:rsidRDefault="002A0EE0" w:rsidP="00897EBD">
    <w:pPr>
      <w:pStyle w:val="a3"/>
      <w:tabs>
        <w:tab w:val="clear" w:pos="4680"/>
        <w:tab w:val="clear" w:pos="9360"/>
        <w:tab w:val="left" w:pos="2842"/>
      </w:tabs>
      <w:spacing w:line="360" w:lineRule="auto"/>
      <w:jc w:val="center"/>
      <w:rPr>
        <w:rFonts w:ascii="Algerian" w:hAnsi="Algerian"/>
        <w:sz w:val="24"/>
        <w:szCs w:val="24"/>
      </w:rPr>
    </w:pPr>
    <w:r w:rsidRPr="00897EBD">
      <w:rPr>
        <w:rFonts w:ascii="Algerian" w:eastAsia="Yu Gothic UI Semibold" w:hAnsi="Algerian" w:cstheme="majorBidi"/>
        <w:color w:val="0F243E" w:themeColor="text2" w:themeShade="80"/>
        <w:sz w:val="24"/>
        <w:szCs w:val="24"/>
        <w:lang w:bidi="ar-IQ"/>
      </w:rPr>
      <w:t>Vole 2026, Issue 59, SEP,2026</w:t>
    </w:r>
  </w:p>
  <w:p w14:paraId="476B76AE" w14:textId="77777777" w:rsidR="002A0EE0" w:rsidRPr="008C4480" w:rsidRDefault="002A0EE0" w:rsidP="00DD4C57">
    <w:pPr>
      <w:pStyle w:val="a3"/>
      <w:tabs>
        <w:tab w:val="clear" w:pos="4680"/>
        <w:tab w:val="clear" w:pos="9360"/>
        <w:tab w:val="left" w:pos="2842"/>
      </w:tabs>
    </w:pPr>
    <w:r>
      <w:rPr>
        <w:noProof/>
        <w:rtl/>
      </w:rPr>
      <mc:AlternateContent>
        <mc:Choice Requires="wps">
          <w:drawing>
            <wp:anchor distT="0" distB="0" distL="114300" distR="114300" simplePos="0" relativeHeight="251671552" behindDoc="0" locked="0" layoutInCell="1" allowOverlap="1" wp14:anchorId="270DCB40" wp14:editId="573B278C">
              <wp:simplePos x="0" y="0"/>
              <wp:positionH relativeFrom="column">
                <wp:posOffset>-28575</wp:posOffset>
              </wp:positionH>
              <wp:positionV relativeFrom="paragraph">
                <wp:posOffset>45085</wp:posOffset>
              </wp:positionV>
              <wp:extent cx="6000750" cy="0"/>
              <wp:effectExtent l="57150" t="38100" r="57150" b="95250"/>
              <wp:wrapNone/>
              <wp:docPr id="31" name="رابط مستقيم 6"/>
              <wp:cNvGraphicFramePr/>
              <a:graphic xmlns:a="http://schemas.openxmlformats.org/drawingml/2006/main">
                <a:graphicData uri="http://schemas.microsoft.com/office/word/2010/wordprocessingShape">
                  <wps:wsp>
                    <wps:cNvCnPr/>
                    <wps:spPr>
                      <a:xfrm flipH="1">
                        <a:off x="0" y="0"/>
                        <a:ext cx="60007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6" o:spid="_x0000_s1026" style="position:absolute;left:0;text-align:lef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3.55pt" to="470.2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" strokecolor="black [3200]" strokeweight="2pt">
              <v:shadow on="t" color="black" opacity="24903f" origin=",.5" offset="0,.55556mm"/>
            </v:line>
          </w:pict>
        </mc:Fallback>
      </mc:AlternateConten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B84"/>
    <w:rsid w:val="00015F52"/>
    <w:rsid w:val="00036C6D"/>
    <w:rsid w:val="00050E2F"/>
    <w:rsid w:val="00066715"/>
    <w:rsid w:val="00075A86"/>
    <w:rsid w:val="00081DB5"/>
    <w:rsid w:val="00097E8B"/>
    <w:rsid w:val="000C2C32"/>
    <w:rsid w:val="00100600"/>
    <w:rsid w:val="001134DD"/>
    <w:rsid w:val="00145E5A"/>
    <w:rsid w:val="00152597"/>
    <w:rsid w:val="001630D6"/>
    <w:rsid w:val="0017656A"/>
    <w:rsid w:val="00186737"/>
    <w:rsid w:val="00193C4A"/>
    <w:rsid w:val="00196BCA"/>
    <w:rsid w:val="001A7516"/>
    <w:rsid w:val="001B3E9C"/>
    <w:rsid w:val="001E258E"/>
    <w:rsid w:val="001F2810"/>
    <w:rsid w:val="002055F3"/>
    <w:rsid w:val="00216715"/>
    <w:rsid w:val="00222C13"/>
    <w:rsid w:val="00243925"/>
    <w:rsid w:val="0024425B"/>
    <w:rsid w:val="00256BBC"/>
    <w:rsid w:val="00273C2E"/>
    <w:rsid w:val="002A0EE0"/>
    <w:rsid w:val="002B2043"/>
    <w:rsid w:val="002C6630"/>
    <w:rsid w:val="002D5025"/>
    <w:rsid w:val="002D71E5"/>
    <w:rsid w:val="002F1CA0"/>
    <w:rsid w:val="00333716"/>
    <w:rsid w:val="003351CC"/>
    <w:rsid w:val="00340701"/>
    <w:rsid w:val="00344AFA"/>
    <w:rsid w:val="003633E7"/>
    <w:rsid w:val="003E0AD2"/>
    <w:rsid w:val="003E488A"/>
    <w:rsid w:val="003F210E"/>
    <w:rsid w:val="00405E17"/>
    <w:rsid w:val="00406F0B"/>
    <w:rsid w:val="004260FF"/>
    <w:rsid w:val="0043402B"/>
    <w:rsid w:val="004822B3"/>
    <w:rsid w:val="004C1FF1"/>
    <w:rsid w:val="004E579F"/>
    <w:rsid w:val="0057596D"/>
    <w:rsid w:val="00594CEF"/>
    <w:rsid w:val="005A14DB"/>
    <w:rsid w:val="005A4901"/>
    <w:rsid w:val="005A725C"/>
    <w:rsid w:val="005D3414"/>
    <w:rsid w:val="005D4933"/>
    <w:rsid w:val="00641E61"/>
    <w:rsid w:val="00651051"/>
    <w:rsid w:val="00657CDD"/>
    <w:rsid w:val="00663F3D"/>
    <w:rsid w:val="0067318F"/>
    <w:rsid w:val="00685966"/>
    <w:rsid w:val="006B4CCF"/>
    <w:rsid w:val="006B72BA"/>
    <w:rsid w:val="007B2F3D"/>
    <w:rsid w:val="007B6D28"/>
    <w:rsid w:val="007C51F2"/>
    <w:rsid w:val="007E2126"/>
    <w:rsid w:val="008023E8"/>
    <w:rsid w:val="00835777"/>
    <w:rsid w:val="0086566B"/>
    <w:rsid w:val="00891D3F"/>
    <w:rsid w:val="0089423A"/>
    <w:rsid w:val="00897EBD"/>
    <w:rsid w:val="008A584A"/>
    <w:rsid w:val="008C03FE"/>
    <w:rsid w:val="008C4480"/>
    <w:rsid w:val="00956223"/>
    <w:rsid w:val="0096392E"/>
    <w:rsid w:val="00982ECA"/>
    <w:rsid w:val="0099216D"/>
    <w:rsid w:val="009A5AFA"/>
    <w:rsid w:val="009A67B6"/>
    <w:rsid w:val="009A79D5"/>
    <w:rsid w:val="009A7CD2"/>
    <w:rsid w:val="009B6B50"/>
    <w:rsid w:val="00A07407"/>
    <w:rsid w:val="00A10315"/>
    <w:rsid w:val="00A27F6B"/>
    <w:rsid w:val="00A31BE3"/>
    <w:rsid w:val="00A34B2F"/>
    <w:rsid w:val="00A461A7"/>
    <w:rsid w:val="00A95656"/>
    <w:rsid w:val="00A95977"/>
    <w:rsid w:val="00AE3198"/>
    <w:rsid w:val="00B009E6"/>
    <w:rsid w:val="00B455E4"/>
    <w:rsid w:val="00B82249"/>
    <w:rsid w:val="00B93BFB"/>
    <w:rsid w:val="00C0215A"/>
    <w:rsid w:val="00C12485"/>
    <w:rsid w:val="00C33434"/>
    <w:rsid w:val="00C67061"/>
    <w:rsid w:val="00CA5EC4"/>
    <w:rsid w:val="00CC51D4"/>
    <w:rsid w:val="00CC7A4A"/>
    <w:rsid w:val="00CD136D"/>
    <w:rsid w:val="00CD17C3"/>
    <w:rsid w:val="00CD75E9"/>
    <w:rsid w:val="00D23233"/>
    <w:rsid w:val="00D24E47"/>
    <w:rsid w:val="00D323C3"/>
    <w:rsid w:val="00D34AFE"/>
    <w:rsid w:val="00D44824"/>
    <w:rsid w:val="00D726C2"/>
    <w:rsid w:val="00D85B69"/>
    <w:rsid w:val="00D950E9"/>
    <w:rsid w:val="00DB1EE6"/>
    <w:rsid w:val="00DD4C57"/>
    <w:rsid w:val="00DD648A"/>
    <w:rsid w:val="00E25FA8"/>
    <w:rsid w:val="00E332DE"/>
    <w:rsid w:val="00E42FDD"/>
    <w:rsid w:val="00E4635A"/>
    <w:rsid w:val="00E54B84"/>
    <w:rsid w:val="00E911B1"/>
    <w:rsid w:val="00E9323A"/>
    <w:rsid w:val="00EB02CC"/>
    <w:rsid w:val="00EB6170"/>
    <w:rsid w:val="00EE7B25"/>
    <w:rsid w:val="00F65A0D"/>
    <w:rsid w:val="00F66490"/>
    <w:rsid w:val="00FA12C6"/>
    <w:rsid w:val="00FD6916"/>
    <w:rsid w:val="00FD69A7"/>
    <w:rsid w:val="00FF5B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4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196B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4B84"/>
    <w:pPr>
      <w:tabs>
        <w:tab w:val="center" w:pos="4680"/>
        <w:tab w:val="right" w:pos="9360"/>
      </w:tabs>
      <w:spacing w:after="0" w:line="240" w:lineRule="auto"/>
    </w:pPr>
  </w:style>
  <w:style w:type="character" w:customStyle="1" w:styleId="Char">
    <w:name w:val="رأس الصفحة Char"/>
    <w:basedOn w:val="a0"/>
    <w:link w:val="a3"/>
    <w:uiPriority w:val="99"/>
    <w:rsid w:val="00E54B84"/>
  </w:style>
  <w:style w:type="paragraph" w:styleId="a4">
    <w:name w:val="footer"/>
    <w:basedOn w:val="a"/>
    <w:link w:val="Char0"/>
    <w:uiPriority w:val="99"/>
    <w:unhideWhenUsed/>
    <w:rsid w:val="00E54B84"/>
    <w:pPr>
      <w:tabs>
        <w:tab w:val="center" w:pos="4680"/>
        <w:tab w:val="right" w:pos="9360"/>
      </w:tabs>
      <w:spacing w:after="0" w:line="240" w:lineRule="auto"/>
    </w:pPr>
  </w:style>
  <w:style w:type="character" w:customStyle="1" w:styleId="Char0">
    <w:name w:val="تذييل الصفحة Char"/>
    <w:basedOn w:val="a0"/>
    <w:link w:val="a4"/>
    <w:uiPriority w:val="99"/>
    <w:rsid w:val="00E54B84"/>
  </w:style>
  <w:style w:type="paragraph" w:styleId="a5">
    <w:name w:val="Balloon Text"/>
    <w:basedOn w:val="a"/>
    <w:link w:val="Char1"/>
    <w:uiPriority w:val="99"/>
    <w:semiHidden/>
    <w:unhideWhenUsed/>
    <w:rsid w:val="00E54B84"/>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E54B84"/>
    <w:rPr>
      <w:rFonts w:ascii="Tahoma" w:hAnsi="Tahoma" w:cs="Tahoma"/>
      <w:sz w:val="16"/>
      <w:szCs w:val="16"/>
    </w:rPr>
  </w:style>
  <w:style w:type="character" w:customStyle="1" w:styleId="1Char">
    <w:name w:val="عنوان 1 Char"/>
    <w:basedOn w:val="a0"/>
    <w:link w:val="1"/>
    <w:uiPriority w:val="9"/>
    <w:rsid w:val="00196BCA"/>
    <w:rPr>
      <w:rFonts w:asciiTheme="majorHAnsi" w:eastAsiaTheme="majorEastAsia" w:hAnsiTheme="majorHAnsi" w:cstheme="majorBidi"/>
      <w:b/>
      <w:bCs/>
      <w:color w:val="365F91" w:themeColor="accent1" w:themeShade="BF"/>
      <w:sz w:val="28"/>
      <w:szCs w:val="28"/>
    </w:rPr>
  </w:style>
  <w:style w:type="paragraph" w:styleId="a6">
    <w:name w:val="No Spacing"/>
    <w:link w:val="Char2"/>
    <w:uiPriority w:val="1"/>
    <w:qFormat/>
    <w:rsid w:val="00196BCA"/>
    <w:pPr>
      <w:spacing w:after="0" w:line="240" w:lineRule="auto"/>
    </w:pPr>
    <w:rPr>
      <w:rFonts w:ascii="Calibri" w:eastAsia="Times New Roman" w:hAnsi="Calibri" w:cs="Arial"/>
    </w:rPr>
  </w:style>
  <w:style w:type="character" w:styleId="Hyperlink">
    <w:name w:val="Hyperlink"/>
    <w:basedOn w:val="a0"/>
    <w:uiPriority w:val="99"/>
    <w:unhideWhenUsed/>
    <w:rsid w:val="00D24E47"/>
    <w:rPr>
      <w:color w:val="0000FF" w:themeColor="hyperlink"/>
      <w:u w:val="single"/>
    </w:rPr>
  </w:style>
  <w:style w:type="character" w:styleId="a7">
    <w:name w:val="line number"/>
    <w:basedOn w:val="a0"/>
    <w:uiPriority w:val="99"/>
    <w:semiHidden/>
    <w:unhideWhenUsed/>
    <w:rsid w:val="005A14DB"/>
  </w:style>
  <w:style w:type="paragraph" w:styleId="a8">
    <w:name w:val="caption"/>
    <w:basedOn w:val="a"/>
    <w:next w:val="a"/>
    <w:uiPriority w:val="35"/>
    <w:unhideWhenUsed/>
    <w:qFormat/>
    <w:rsid w:val="00D950E9"/>
    <w:pPr>
      <w:spacing w:line="240" w:lineRule="auto"/>
    </w:pPr>
    <w:rPr>
      <w:b/>
      <w:bCs/>
      <w:color w:val="4F81BD" w:themeColor="accent1"/>
      <w:sz w:val="18"/>
      <w:szCs w:val="18"/>
    </w:rPr>
  </w:style>
  <w:style w:type="table" w:styleId="a9">
    <w:name w:val="Table Grid"/>
    <w:basedOn w:val="a1"/>
    <w:uiPriority w:val="39"/>
    <w:rsid w:val="00205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1"/>
    <w:next w:val="a9"/>
    <w:uiPriority w:val="59"/>
    <w:rsid w:val="002055F3"/>
    <w:pPr>
      <w:spacing w:after="0" w:line="240" w:lineRule="auto"/>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1"/>
    <w:next w:val="a9"/>
    <w:uiPriority w:val="59"/>
    <w:rsid w:val="002055F3"/>
    <w:pPr>
      <w:spacing w:beforeAutospacing="1" w:after="0" w:afterAutospacing="1" w:line="240" w:lineRule="auto"/>
      <w:ind w:firstLine="720"/>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a1"/>
    <w:next w:val="a9"/>
    <w:uiPriority w:val="59"/>
    <w:rsid w:val="002055F3"/>
    <w:pPr>
      <w:spacing w:beforeAutospacing="1" w:after="0" w:afterAutospacing="1" w:line="240" w:lineRule="auto"/>
      <w:ind w:firstLine="720"/>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link w:val="Char3"/>
    <w:uiPriority w:val="99"/>
    <w:qFormat/>
    <w:rsid w:val="00186737"/>
    <w:pPr>
      <w:spacing w:before="100" w:beforeAutospacing="1" w:after="100" w:afterAutospacing="1" w:line="240" w:lineRule="auto"/>
    </w:pPr>
    <w:rPr>
      <w:rFonts w:ascii="Times New Roman" w:eastAsia="SimSun" w:hAnsi="Times New Roman" w:cs="Times New Roman"/>
      <w:sz w:val="24"/>
      <w:szCs w:val="24"/>
    </w:rPr>
  </w:style>
  <w:style w:type="character" w:customStyle="1" w:styleId="Char2">
    <w:name w:val="بلا تباعد Char"/>
    <w:basedOn w:val="a0"/>
    <w:link w:val="a6"/>
    <w:uiPriority w:val="1"/>
    <w:rsid w:val="00186737"/>
    <w:rPr>
      <w:rFonts w:ascii="Calibri" w:eastAsia="Times New Roman" w:hAnsi="Calibri" w:cs="Arial"/>
    </w:rPr>
  </w:style>
  <w:style w:type="character" w:customStyle="1" w:styleId="Char3">
    <w:name w:val="عادي (ويب) Char"/>
    <w:link w:val="aa"/>
    <w:uiPriority w:val="99"/>
    <w:rsid w:val="00186737"/>
    <w:rPr>
      <w:rFonts w:ascii="Times New Roman" w:eastAsia="SimSun" w:hAnsi="Times New Roman" w:cs="Times New Roman"/>
      <w:sz w:val="24"/>
      <w:szCs w:val="24"/>
    </w:rPr>
  </w:style>
  <w:style w:type="paragraph" w:customStyle="1" w:styleId="IGJ13authornames">
    <w:name w:val="IGJ_1.3_authornames"/>
    <w:basedOn w:val="a"/>
    <w:next w:val="a"/>
    <w:qFormat/>
    <w:rsid w:val="00186737"/>
    <w:pPr>
      <w:adjustRightInd w:val="0"/>
      <w:snapToGrid w:val="0"/>
      <w:spacing w:after="120"/>
    </w:pPr>
    <w:rPr>
      <w:rFonts w:ascii="Times New Roman" w:eastAsia="Times New Roman" w:hAnsi="Times New Roman" w:cs="Times New Roman"/>
      <w:b/>
      <w:color w:val="000000"/>
      <w:sz w:val="20"/>
      <w:lang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196B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4B84"/>
    <w:pPr>
      <w:tabs>
        <w:tab w:val="center" w:pos="4680"/>
        <w:tab w:val="right" w:pos="9360"/>
      </w:tabs>
      <w:spacing w:after="0" w:line="240" w:lineRule="auto"/>
    </w:pPr>
  </w:style>
  <w:style w:type="character" w:customStyle="1" w:styleId="Char">
    <w:name w:val="رأس الصفحة Char"/>
    <w:basedOn w:val="a0"/>
    <w:link w:val="a3"/>
    <w:uiPriority w:val="99"/>
    <w:rsid w:val="00E54B84"/>
  </w:style>
  <w:style w:type="paragraph" w:styleId="a4">
    <w:name w:val="footer"/>
    <w:basedOn w:val="a"/>
    <w:link w:val="Char0"/>
    <w:uiPriority w:val="99"/>
    <w:unhideWhenUsed/>
    <w:rsid w:val="00E54B84"/>
    <w:pPr>
      <w:tabs>
        <w:tab w:val="center" w:pos="4680"/>
        <w:tab w:val="right" w:pos="9360"/>
      </w:tabs>
      <w:spacing w:after="0" w:line="240" w:lineRule="auto"/>
    </w:pPr>
  </w:style>
  <w:style w:type="character" w:customStyle="1" w:styleId="Char0">
    <w:name w:val="تذييل الصفحة Char"/>
    <w:basedOn w:val="a0"/>
    <w:link w:val="a4"/>
    <w:uiPriority w:val="99"/>
    <w:rsid w:val="00E54B84"/>
  </w:style>
  <w:style w:type="paragraph" w:styleId="a5">
    <w:name w:val="Balloon Text"/>
    <w:basedOn w:val="a"/>
    <w:link w:val="Char1"/>
    <w:uiPriority w:val="99"/>
    <w:semiHidden/>
    <w:unhideWhenUsed/>
    <w:rsid w:val="00E54B84"/>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E54B84"/>
    <w:rPr>
      <w:rFonts w:ascii="Tahoma" w:hAnsi="Tahoma" w:cs="Tahoma"/>
      <w:sz w:val="16"/>
      <w:szCs w:val="16"/>
    </w:rPr>
  </w:style>
  <w:style w:type="character" w:customStyle="1" w:styleId="1Char">
    <w:name w:val="عنوان 1 Char"/>
    <w:basedOn w:val="a0"/>
    <w:link w:val="1"/>
    <w:uiPriority w:val="9"/>
    <w:rsid w:val="00196BCA"/>
    <w:rPr>
      <w:rFonts w:asciiTheme="majorHAnsi" w:eastAsiaTheme="majorEastAsia" w:hAnsiTheme="majorHAnsi" w:cstheme="majorBidi"/>
      <w:b/>
      <w:bCs/>
      <w:color w:val="365F91" w:themeColor="accent1" w:themeShade="BF"/>
      <w:sz w:val="28"/>
      <w:szCs w:val="28"/>
    </w:rPr>
  </w:style>
  <w:style w:type="paragraph" w:styleId="a6">
    <w:name w:val="No Spacing"/>
    <w:link w:val="Char2"/>
    <w:uiPriority w:val="1"/>
    <w:qFormat/>
    <w:rsid w:val="00196BCA"/>
    <w:pPr>
      <w:spacing w:after="0" w:line="240" w:lineRule="auto"/>
    </w:pPr>
    <w:rPr>
      <w:rFonts w:ascii="Calibri" w:eastAsia="Times New Roman" w:hAnsi="Calibri" w:cs="Arial"/>
    </w:rPr>
  </w:style>
  <w:style w:type="character" w:styleId="Hyperlink">
    <w:name w:val="Hyperlink"/>
    <w:basedOn w:val="a0"/>
    <w:uiPriority w:val="99"/>
    <w:unhideWhenUsed/>
    <w:rsid w:val="00D24E47"/>
    <w:rPr>
      <w:color w:val="0000FF" w:themeColor="hyperlink"/>
      <w:u w:val="single"/>
    </w:rPr>
  </w:style>
  <w:style w:type="character" w:styleId="a7">
    <w:name w:val="line number"/>
    <w:basedOn w:val="a0"/>
    <w:uiPriority w:val="99"/>
    <w:semiHidden/>
    <w:unhideWhenUsed/>
    <w:rsid w:val="005A14DB"/>
  </w:style>
  <w:style w:type="paragraph" w:styleId="a8">
    <w:name w:val="caption"/>
    <w:basedOn w:val="a"/>
    <w:next w:val="a"/>
    <w:uiPriority w:val="35"/>
    <w:unhideWhenUsed/>
    <w:qFormat/>
    <w:rsid w:val="00D950E9"/>
    <w:pPr>
      <w:spacing w:line="240" w:lineRule="auto"/>
    </w:pPr>
    <w:rPr>
      <w:b/>
      <w:bCs/>
      <w:color w:val="4F81BD" w:themeColor="accent1"/>
      <w:sz w:val="18"/>
      <w:szCs w:val="18"/>
    </w:rPr>
  </w:style>
  <w:style w:type="table" w:styleId="a9">
    <w:name w:val="Table Grid"/>
    <w:basedOn w:val="a1"/>
    <w:uiPriority w:val="39"/>
    <w:rsid w:val="00205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1"/>
    <w:next w:val="a9"/>
    <w:uiPriority w:val="59"/>
    <w:rsid w:val="002055F3"/>
    <w:pPr>
      <w:spacing w:after="0" w:line="240" w:lineRule="auto"/>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1"/>
    <w:next w:val="a9"/>
    <w:uiPriority w:val="59"/>
    <w:rsid w:val="002055F3"/>
    <w:pPr>
      <w:spacing w:beforeAutospacing="1" w:after="0" w:afterAutospacing="1" w:line="240" w:lineRule="auto"/>
      <w:ind w:firstLine="720"/>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a1"/>
    <w:next w:val="a9"/>
    <w:uiPriority w:val="59"/>
    <w:rsid w:val="002055F3"/>
    <w:pPr>
      <w:spacing w:beforeAutospacing="1" w:after="0" w:afterAutospacing="1" w:line="240" w:lineRule="auto"/>
      <w:ind w:firstLine="720"/>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link w:val="Char3"/>
    <w:uiPriority w:val="99"/>
    <w:qFormat/>
    <w:rsid w:val="00186737"/>
    <w:pPr>
      <w:spacing w:before="100" w:beforeAutospacing="1" w:after="100" w:afterAutospacing="1" w:line="240" w:lineRule="auto"/>
    </w:pPr>
    <w:rPr>
      <w:rFonts w:ascii="Times New Roman" w:eastAsia="SimSun" w:hAnsi="Times New Roman" w:cs="Times New Roman"/>
      <w:sz w:val="24"/>
      <w:szCs w:val="24"/>
    </w:rPr>
  </w:style>
  <w:style w:type="character" w:customStyle="1" w:styleId="Char2">
    <w:name w:val="بلا تباعد Char"/>
    <w:basedOn w:val="a0"/>
    <w:link w:val="a6"/>
    <w:uiPriority w:val="1"/>
    <w:rsid w:val="00186737"/>
    <w:rPr>
      <w:rFonts w:ascii="Calibri" w:eastAsia="Times New Roman" w:hAnsi="Calibri" w:cs="Arial"/>
    </w:rPr>
  </w:style>
  <w:style w:type="character" w:customStyle="1" w:styleId="Char3">
    <w:name w:val="عادي (ويب) Char"/>
    <w:link w:val="aa"/>
    <w:uiPriority w:val="99"/>
    <w:rsid w:val="00186737"/>
    <w:rPr>
      <w:rFonts w:ascii="Times New Roman" w:eastAsia="SimSun" w:hAnsi="Times New Roman" w:cs="Times New Roman"/>
      <w:sz w:val="24"/>
      <w:szCs w:val="24"/>
    </w:rPr>
  </w:style>
  <w:style w:type="paragraph" w:customStyle="1" w:styleId="IGJ13authornames">
    <w:name w:val="IGJ_1.3_authornames"/>
    <w:basedOn w:val="a"/>
    <w:next w:val="a"/>
    <w:qFormat/>
    <w:rsid w:val="00186737"/>
    <w:pPr>
      <w:adjustRightInd w:val="0"/>
      <w:snapToGrid w:val="0"/>
      <w:spacing w:after="120"/>
    </w:pPr>
    <w:rPr>
      <w:rFonts w:ascii="Times New Roman" w:eastAsia="Times New Roman" w:hAnsi="Times New Roman" w:cs="Times New Roman"/>
      <w:b/>
      <w:color w:val="00000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18" Type="http://schemas.openxmlformats.org/officeDocument/2006/relationships/hyperlink" Target="https://www.misan-jas.com/index.php/ojs" TargetMode="External"/><Relationship Id="rId26" Type="http://schemas.openxmlformats.org/officeDocument/2006/relationships/image" Target="media/image100.png"/><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journal.m.academy@uomisan.edu.iq" TargetMode="External"/><Relationship Id="rId25" Type="http://schemas.openxmlformats.org/officeDocument/2006/relationships/hyperlink" Target="https://doi.org/10.54633/2333-025-059-005"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eader" Target="header1.xml"/><Relationship Id="rId29" Type="http://schemas.openxmlformats.org/officeDocument/2006/relationships/hyperlink" Target="https://orcid.org/my-orcid?orcid=0000-0003-3409-059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creativecommons.org/licenses/by-nc-nd/4.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0.png"/><Relationship Id="rId28" Type="http://schemas.openxmlformats.org/officeDocument/2006/relationships/hyperlink" Target="mailto:ammar@uomisan.edu.iq" TargetMode="External"/><Relationship Id="rId10" Type="http://schemas.openxmlformats.org/officeDocument/2006/relationships/image" Target="media/image3.jpeg"/><Relationship Id="rId19" Type="http://schemas.openxmlformats.org/officeDocument/2006/relationships/hyperlink" Target="https://iasj.rdd.edu.iq/journals/journal/view/298"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s://doi.org/10.54633/2333-025-059-005" TargetMode="External"/><Relationship Id="rId27" Type="http://schemas.openxmlformats.org/officeDocument/2006/relationships/hyperlink" Target="https://creativecommons.org/licenses/by-nc-nd/4.0/"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9.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8138B-948F-42A5-9DC2-B79D48B46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7311</Words>
  <Characters>41673</Characters>
  <Application>Microsoft Office Word</Application>
  <DocSecurity>0</DocSecurity>
  <Lines>347</Lines>
  <Paragraphs>97</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48887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VISION</cp:lastModifiedBy>
  <cp:revision>2</cp:revision>
  <cp:lastPrinted>2026-10-01T07:52:00Z</cp:lastPrinted>
  <dcterms:created xsi:type="dcterms:W3CDTF">2026-10-02T13:04:00Z</dcterms:created>
  <dcterms:modified xsi:type="dcterms:W3CDTF">2026-10-02T13:04:00Z</dcterms:modified>
</cp:coreProperties>
</file>